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E6" w:rsidRPr="00205C10" w:rsidRDefault="00A453E6" w:rsidP="000A3AEF">
      <w:pPr>
        <w:keepNext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5C1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ЗАТВЕРДЖЕНО</w:t>
      </w:r>
    </w:p>
    <w:p w:rsidR="00A453E6" w:rsidRPr="00205C10" w:rsidRDefault="00A453E6" w:rsidP="000A3AEF">
      <w:pPr>
        <w:keepNext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5C1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Наказ Генерального прокурора </w:t>
      </w:r>
    </w:p>
    <w:p w:rsidR="00A453E6" w:rsidRDefault="00F37044" w:rsidP="000A3AE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A453E6" w:rsidRPr="00205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липня</w:t>
      </w:r>
      <w:r w:rsidR="00A453E6" w:rsidRPr="00205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 року </w:t>
      </w:r>
      <w:r w:rsidR="00A453E6" w:rsidRPr="00205C1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316</w:t>
      </w:r>
    </w:p>
    <w:p w:rsidR="00A453E6" w:rsidRPr="00FA54AC" w:rsidRDefault="00A453E6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453E6" w:rsidRPr="00FA54AC" w:rsidRDefault="00A453E6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65FCA" w:rsidRDefault="00965FCA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02A09" w:rsidRDefault="00A453E6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F59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FF599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F59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забезпечення транспортними і матеріально-технічними засобами </w:t>
      </w:r>
    </w:p>
    <w:p w:rsidR="00A453E6" w:rsidRPr="00FF5995" w:rsidRDefault="00A453E6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F59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органів прокуратури</w:t>
      </w:r>
      <w:r w:rsidR="002A0B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A0B8A" w:rsidRPr="002A0B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Тренінгового центру прокурорів України</w:t>
      </w:r>
    </w:p>
    <w:p w:rsidR="00A453E6" w:rsidRDefault="00A453E6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65FCA" w:rsidRPr="00861A93" w:rsidRDefault="00965FCA" w:rsidP="00A4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453E6" w:rsidRPr="00861A93" w:rsidRDefault="00A453E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14"/>
      <w:bookmarkEnd w:id="0"/>
      <w:r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="009602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Цей Порядок розроблено на виконання</w:t>
      </w:r>
      <w:r w:rsidR="002A0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</w:t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7" w:anchor="n846" w:tgtFrame="_blank" w:history="1">
        <w:r w:rsidRPr="00861A9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статті 91</w:t>
        </w:r>
      </w:hyperlink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 Закону України «Про прокуратуру»</w:t>
      </w:r>
      <w:r w:rsidR="00965F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0AAB" w:rsidRPr="00B724E7" w:rsidRDefault="00A453E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15"/>
      <w:bookmarkEnd w:id="1"/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Дія цього Порядку поширюється на Офіс Генерального прокурора</w:t>
      </w:r>
      <w:r w:rsidR="00965F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регіональні (обласні),</w:t>
      </w:r>
      <w:r w:rsidR="00FE0A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місцеві (окружні)</w:t>
      </w:r>
      <w:r w:rsidR="00FE0AAB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E0AAB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військові</w:t>
      </w:r>
      <w:r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0AAB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A0B8A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спеціалізовані</w:t>
      </w:r>
      <w:r w:rsidR="008068B0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A0B8A" w:rsidRPr="008068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2A0B8A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прокуратури </w:t>
      </w:r>
      <w:r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правах обласних</w:t>
      </w:r>
      <w:r w:rsidR="00A47BEB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окружних</w:t>
      </w:r>
      <w:r w:rsidR="002A0B8A"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</w:t>
      </w:r>
      <w:r w:rsidRPr="0080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Спеціалізовану антикорупційну прокуратуру</w:t>
      </w:r>
      <w:r w:rsidR="002A0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0B8A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</w:t>
      </w:r>
      <w:r w:rsidR="002A0B8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 прокуратури</w:t>
      </w:r>
      <w:r w:rsidR="002A0B8A" w:rsidRPr="003971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Тренінговий центр прокурорів </w:t>
      </w:r>
      <w:r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13666F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Тренінговий центр). </w:t>
      </w:r>
    </w:p>
    <w:p w:rsidR="00A453E6" w:rsidRPr="00861A93" w:rsidRDefault="00FE0AAB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A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1366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орядок 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965FCA">
        <w:rPr>
          <w:rFonts w:ascii="Times New Roman" w:eastAsia="Times New Roman" w:hAnsi="Times New Roman" w:cs="Times New Roman"/>
          <w:sz w:val="28"/>
          <w:szCs w:val="28"/>
          <w:lang w:val="uk-UA"/>
        </w:rPr>
        <w:t>ає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</w:t>
      </w:r>
      <w:r w:rsidR="00965FC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засад</w:t>
      </w:r>
      <w:r w:rsidR="00965FC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органів прокуратури та Тренінгового центру 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транспортними і матеріально-технічними засобами в межах видатків на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="00965FCA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утримання, затверджених у Державному бюджеті України, відповідно до вимог законодавства.</w:t>
      </w:r>
    </w:p>
    <w:p w:rsidR="00A453E6" w:rsidRPr="00861A93" w:rsidRDefault="00FE0AAB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n16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1366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цьому Порядку термін «матеріально-технічні засоби»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, об’єкти будь-якого виду та призначення, вироби, устаткування, технології, засоби зв’язку, комп’ютерн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організаційн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електронно-обчислювальн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запасні частини для транспортних засобів і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вказаної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техніки, пально-мастильні матеріали, канцелярські та паперові вироби, 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друковану продукцію (пов’язану з виконанням завдань і функцій </w:t>
      </w:r>
      <w:r w:rsidR="0013666F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прокуратури та Тренінгового центру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канцелярське приладдя,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спеціальний одяг,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меблі, побутов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, будівельні матеріали, інвентар, інструменти та засоби для господарської діяльності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53E6" w:rsidRPr="00861A93" w:rsidRDefault="00FE0AAB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17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66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цього Порядку:</w:t>
      </w:r>
    </w:p>
    <w:p w:rsidR="00A453E6" w:rsidRPr="0039139C" w:rsidRDefault="0013666F" w:rsidP="000438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1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приймання-передача транспортних і матеріально-технічних засобів 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0438BD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Офісом Генерального прокурора, регіональними (обласними), військовими (спеціалізованими) прокуратурами на правах обласних, Тренінговим центром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на підста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ві наказів Генерального прокурора</w:t>
      </w:r>
      <w:r w:rsidR="002A0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перших заступників </w:t>
      </w:r>
      <w:proofErr w:type="spellStart"/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0B8A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заступників Генерального прокурор</w:t>
      </w:r>
      <w:r w:rsidR="003C6C83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A0B8A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розподілу </w:t>
      </w:r>
      <w:r w:rsidR="00E306C0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 керівництвом Офісу Генерального прокурора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53E6" w:rsidRPr="00861A93" w:rsidRDefault="0013666F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19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транспортні і матеріально-технічні засоби, придбані (передані) у встановленому законодавством порядку для потреб Спеціалізованої антикорупційної прокуратури, не можуть бути в подальшому передані до інших </w:t>
      </w:r>
      <w:r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прокуратури, </w:t>
      </w:r>
      <w:bookmarkStart w:id="6" w:name="_GoBack"/>
      <w:r w:rsidRPr="001F531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uk-UA"/>
        </w:rPr>
        <w:t xml:space="preserve">Тренінгового центру </w:t>
      </w:r>
      <w:r w:rsidR="00A453E6" w:rsidRPr="001F531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uk-UA"/>
        </w:rPr>
        <w:t xml:space="preserve">та/або структурних підрозділів Офісу </w:t>
      </w:r>
      <w:bookmarkEnd w:id="6"/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Генерального прокурора без погодження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Спеціалізованої антикорупційної прокуратури;</w:t>
      </w:r>
    </w:p>
    <w:p w:rsidR="00A453E6" w:rsidRPr="00861A93" w:rsidRDefault="00E42DB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n20"/>
      <w:bookmarkEnd w:id="7"/>
      <w:r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військові прокуратури </w:t>
      </w:r>
      <w:r w:rsidR="00E75033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забезпечуються транспортними </w:t>
      </w:r>
      <w:r w:rsidR="00965FCA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матеріально-те</w:t>
      </w:r>
      <w:r w:rsidR="008068B0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хнічними засобами відповідно до </w:t>
      </w:r>
      <w:r w:rsidR="00A453E6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 </w:t>
      </w:r>
      <w:hyperlink r:id="rId8" w:anchor="n12" w:tgtFrame="_blank" w:history="1">
        <w:r w:rsidR="00A453E6" w:rsidRPr="0039139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Інструкції про організацію і здійснення матеріально-побутового та іншого забезпечення військових прокуратур</w:t>
        </w:r>
      </w:hyperlink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затвердженої наказом Міністерства оборони України, Генеральної прокуратури України від 18.03.2016 № 148/122, зареєстрован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Міністерстві юстиції України 13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2016 за № 548/28678;</w:t>
      </w:r>
    </w:p>
    <w:p w:rsidR="00A453E6" w:rsidRPr="00861A93" w:rsidRDefault="00E42DB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21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приймання-передача транспортних і матеріально-технічних засобів від/до інших підприємств, установ, організацій, які належать до державної або комунальної власності, здійснюється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3C6C8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53E6" w:rsidRPr="00861A93" w:rsidRDefault="00FE0AAB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n22"/>
      <w:bookmarkStart w:id="10" w:name="n23"/>
      <w:bookmarkEnd w:id="9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B54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5C3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Офісу Генерального прокурора, регіональних (обласних), </w:t>
      </w:r>
      <w:r w:rsidR="00A47BEB" w:rsidRPr="005C30C5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 (спеціалізованих</w:t>
      </w:r>
      <w:r w:rsidR="005C30C5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47BEB" w:rsidRPr="005C3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 на правах обласних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транспортними і матеріально-технічними засобами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в межах затверджених</w:t>
      </w:r>
      <w:r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6635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>для них</w:t>
      </w:r>
      <w:r w:rsidR="00A453E6" w:rsidRPr="00391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кошторисних видатків із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дотриманням вимог</w:t>
      </w:r>
      <w:r w:rsidR="00A453E6" w:rsidRPr="005B547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законодавства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числі граничних сум витрат на придбання автомобілів, меблів,</w:t>
      </w:r>
      <w:r w:rsidR="00A453E6" w:rsidRPr="002778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іншого обладнання та устаткування для адміністративних потреб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53E6" w:rsidRPr="00861A93" w:rsidRDefault="007F38E3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24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B54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видатків для забезпечення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органів прокуратури та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транспортними і матеріально-технічними засобами здійснюється за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відомостями про потребу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в бюджетних асигнуваннях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, поданими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відповідними структурними підрозділами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Офіс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Генерального прокурора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(обласн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BEB" w:rsidRPr="005B547C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 (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спеціалізованих</w:t>
      </w:r>
      <w:r w:rsidR="005B547C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 </w:t>
      </w:r>
      <w:r w:rsidR="00A47BEB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правах обласних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F02A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2A09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бухгалтерської служби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Офісу Генерального прокурора згідно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BF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453E6" w:rsidRPr="005B547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53E6" w:rsidRPr="00861A93" w:rsidRDefault="007F38E3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n25"/>
      <w:bookmarkEnd w:id="12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B54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Бухгалтерська служба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Офісу Генерального прокурора 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організовує та забезпечує складання бюджетного запиту (з урахуванням норм і нормативів) відповідно до вимог </w:t>
      </w:r>
      <w:hyperlink r:id="rId9" w:anchor="n13" w:tgtFrame="_blank" w:history="1">
        <w:r w:rsidR="00A453E6" w:rsidRPr="00861A9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Інструкції з підготовки бюджетних запитів</w:t>
        </w:r>
      </w:hyperlink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затвердженої наказом Міністерства фінансів України від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2012 № 687, зареєстрованої в Міністерстві юстиції України 26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2012 за № 1057/21369 (із змінами), і подання його разом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з детальними розрахунками та економічними обґрунтуваннями для аналізу до Міністерства фінансів України.</w:t>
      </w:r>
    </w:p>
    <w:p w:rsidR="00A453E6" w:rsidRPr="00861A93" w:rsidRDefault="007F38E3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n26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B54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ведення бухгалтерського обліку транспортних і матеріально-технічних засобів здійснюється бухгалтерськими службами 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Офіс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Генерального прокурора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</w:t>
      </w:r>
      <w:r w:rsidR="005B54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(спеціалізованих)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</w:t>
      </w:r>
      <w:r w:rsidR="00A47BEB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правах обласних</w:t>
      </w:r>
      <w:r w:rsidR="00B7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3C6C8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53E6" w:rsidRPr="00861A93" w:rsidRDefault="007F38E3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n27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A453E6" w:rsidRPr="00965F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8068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підрозділ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Офіс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Генерального прокурора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 (спеціалізованих</w:t>
      </w:r>
      <w:r w:rsidR="008068B0" w:rsidRPr="00B724E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47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 </w:t>
      </w:r>
      <w:r w:rsidR="00A47BEB"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правах обласних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205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покладено функції забезпечення транспортними і матеріально-технічними засобами, здійсню</w:t>
      </w:r>
      <w:r w:rsidR="00A453E6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453E6" w:rsidRPr="00861A93" w:rsidRDefault="00A453E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n28"/>
      <w:bookmarkEnd w:id="1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8068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потреб та підготовку документів, необхідних для забезпечення транспортними і матеріально-технічними засобами</w:t>
      </w:r>
      <w:r w:rsidR="003C6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законодавства;</w:t>
      </w:r>
    </w:p>
    <w:p w:rsidR="00A453E6" w:rsidRPr="00861A93" w:rsidRDefault="008068B0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n29"/>
      <w:bookmarkStart w:id="17" w:name="n30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53E6"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ефективний розподіл транспортних і матеріально-технічних засобів;</w:t>
      </w:r>
    </w:p>
    <w:p w:rsidR="00A453E6" w:rsidRDefault="00A453E6" w:rsidP="00A453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n31"/>
      <w:bookmarkEnd w:id="1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068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належних умов зберігання транспортних і матеріально-технічних засобів та їх раціональн</w:t>
      </w:r>
      <w:r w:rsidR="003C6C8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61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використання.</w:t>
      </w:r>
    </w:p>
    <w:p w:rsidR="00AD7316" w:rsidRDefault="00AD7316" w:rsidP="00A453E6">
      <w:pPr>
        <w:widowControl w:val="0"/>
        <w:spacing w:after="120" w:line="240" w:lineRule="auto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val="uk-UA" w:eastAsia="ru-RU"/>
        </w:rPr>
      </w:pPr>
    </w:p>
    <w:p w:rsidR="008068B0" w:rsidRPr="00B724E7" w:rsidRDefault="008068B0" w:rsidP="008068B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логістики, ресурсного </w:t>
      </w:r>
    </w:p>
    <w:p w:rsidR="008068B0" w:rsidRPr="00B724E7" w:rsidRDefault="008068B0" w:rsidP="008068B0">
      <w:pPr>
        <w:widowControl w:val="0"/>
        <w:spacing w:after="0" w:line="240" w:lineRule="auto"/>
        <w:rPr>
          <w:rFonts w:ascii="Times New Roman" w:hAnsi="Times New Roman" w:cs="Times New Roman"/>
          <w:b/>
          <w:strike/>
          <w:sz w:val="28"/>
          <w:szCs w:val="28"/>
          <w:lang w:val="ru-RU"/>
        </w:rPr>
      </w:pPr>
      <w:r w:rsidRPr="00B724E7">
        <w:rPr>
          <w:rFonts w:ascii="Times New Roman" w:hAnsi="Times New Roman" w:cs="Times New Roman"/>
          <w:b/>
          <w:sz w:val="28"/>
          <w:szCs w:val="28"/>
          <w:lang w:val="uk-UA"/>
        </w:rPr>
        <w:t>та матеріально-технічного забезпечення</w:t>
      </w:r>
    </w:p>
    <w:p w:rsidR="008068B0" w:rsidRPr="008068B0" w:rsidRDefault="008068B0">
      <w:pPr>
        <w:widowControl w:val="0"/>
        <w:spacing w:after="120" w:line="240" w:lineRule="auto"/>
        <w:rPr>
          <w:rFonts w:ascii="Times New Roman" w:hAnsi="Times New Roman" w:cs="Times New Roman"/>
          <w:b/>
          <w:strike/>
          <w:color w:val="FF0000"/>
          <w:sz w:val="28"/>
          <w:szCs w:val="28"/>
          <w:lang w:val="ru-RU"/>
        </w:rPr>
      </w:pPr>
    </w:p>
    <w:sectPr w:rsidR="008068B0" w:rsidRPr="008068B0" w:rsidSect="00E13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E6" w:rsidRDefault="008E18E6">
      <w:pPr>
        <w:spacing w:after="0" w:line="240" w:lineRule="auto"/>
      </w:pPr>
      <w:r>
        <w:separator/>
      </w:r>
    </w:p>
  </w:endnote>
  <w:endnote w:type="continuationSeparator" w:id="0">
    <w:p w:rsidR="008E18E6" w:rsidRDefault="008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0C" w:rsidRDefault="00D862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0C" w:rsidRDefault="00D862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0C" w:rsidRDefault="00D86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E6" w:rsidRDefault="008E18E6">
      <w:pPr>
        <w:spacing w:after="0" w:line="240" w:lineRule="auto"/>
      </w:pPr>
      <w:r>
        <w:separator/>
      </w:r>
    </w:p>
  </w:footnote>
  <w:footnote w:type="continuationSeparator" w:id="0">
    <w:p w:rsidR="008E18E6" w:rsidRDefault="008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0C" w:rsidRDefault="00D86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5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776" w:rsidRPr="00E13776" w:rsidRDefault="00E13776">
        <w:pPr>
          <w:pStyle w:val="a3"/>
          <w:jc w:val="center"/>
          <w:rPr>
            <w:rFonts w:ascii="Times New Roman" w:hAnsi="Times New Roman" w:cs="Times New Roman"/>
          </w:rPr>
        </w:pPr>
        <w:r w:rsidRPr="00E13776">
          <w:rPr>
            <w:rFonts w:ascii="Times New Roman" w:hAnsi="Times New Roman" w:cs="Times New Roman"/>
          </w:rPr>
          <w:fldChar w:fldCharType="begin"/>
        </w:r>
        <w:r w:rsidRPr="00E13776">
          <w:rPr>
            <w:rFonts w:ascii="Times New Roman" w:hAnsi="Times New Roman" w:cs="Times New Roman"/>
          </w:rPr>
          <w:instrText>PAGE   \* MERGEFORMAT</w:instrText>
        </w:r>
        <w:r w:rsidRPr="00E13776">
          <w:rPr>
            <w:rFonts w:ascii="Times New Roman" w:hAnsi="Times New Roman" w:cs="Times New Roman"/>
          </w:rPr>
          <w:fldChar w:fldCharType="separate"/>
        </w:r>
        <w:r w:rsidR="001F5318" w:rsidRPr="001F5318">
          <w:rPr>
            <w:rFonts w:ascii="Times New Roman" w:hAnsi="Times New Roman" w:cs="Times New Roman"/>
            <w:noProof/>
            <w:lang w:val="ru-RU"/>
          </w:rPr>
          <w:t>3</w:t>
        </w:r>
        <w:r w:rsidRPr="00E13776">
          <w:rPr>
            <w:rFonts w:ascii="Times New Roman" w:hAnsi="Times New Roman" w:cs="Times New Roman"/>
          </w:rPr>
          <w:fldChar w:fldCharType="end"/>
        </w:r>
      </w:p>
    </w:sdtContent>
  </w:sdt>
  <w:p w:rsidR="00AD7316" w:rsidRDefault="00AD7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0C" w:rsidRDefault="00D86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6"/>
    <w:rsid w:val="000438BD"/>
    <w:rsid w:val="000A3AEF"/>
    <w:rsid w:val="001164BD"/>
    <w:rsid w:val="00125BFE"/>
    <w:rsid w:val="0013666F"/>
    <w:rsid w:val="00167420"/>
    <w:rsid w:val="001967CD"/>
    <w:rsid w:val="001F5318"/>
    <w:rsid w:val="001F73ED"/>
    <w:rsid w:val="0024066F"/>
    <w:rsid w:val="00277C34"/>
    <w:rsid w:val="002A0B8A"/>
    <w:rsid w:val="002C5712"/>
    <w:rsid w:val="003366F6"/>
    <w:rsid w:val="003370D1"/>
    <w:rsid w:val="0039139C"/>
    <w:rsid w:val="003C6C83"/>
    <w:rsid w:val="00444765"/>
    <w:rsid w:val="00474EF2"/>
    <w:rsid w:val="00480A2F"/>
    <w:rsid w:val="00485F3C"/>
    <w:rsid w:val="004A058E"/>
    <w:rsid w:val="004A7883"/>
    <w:rsid w:val="004C3E00"/>
    <w:rsid w:val="00501B65"/>
    <w:rsid w:val="005205B2"/>
    <w:rsid w:val="00520FA5"/>
    <w:rsid w:val="005855D2"/>
    <w:rsid w:val="005B547C"/>
    <w:rsid w:val="005C30C5"/>
    <w:rsid w:val="00732F64"/>
    <w:rsid w:val="007F38E3"/>
    <w:rsid w:val="008068B0"/>
    <w:rsid w:val="00856635"/>
    <w:rsid w:val="00891EFB"/>
    <w:rsid w:val="008E18E6"/>
    <w:rsid w:val="008E6FC6"/>
    <w:rsid w:val="009602F9"/>
    <w:rsid w:val="00965FCA"/>
    <w:rsid w:val="009C5540"/>
    <w:rsid w:val="00A453E6"/>
    <w:rsid w:val="00A468A7"/>
    <w:rsid w:val="00A47BEB"/>
    <w:rsid w:val="00AD1960"/>
    <w:rsid w:val="00AD7316"/>
    <w:rsid w:val="00B724E7"/>
    <w:rsid w:val="00C27748"/>
    <w:rsid w:val="00CA3013"/>
    <w:rsid w:val="00CE2F88"/>
    <w:rsid w:val="00CE61DD"/>
    <w:rsid w:val="00D174E1"/>
    <w:rsid w:val="00D21A42"/>
    <w:rsid w:val="00D8620C"/>
    <w:rsid w:val="00DB31CD"/>
    <w:rsid w:val="00E13776"/>
    <w:rsid w:val="00E306C0"/>
    <w:rsid w:val="00E42DB6"/>
    <w:rsid w:val="00E75033"/>
    <w:rsid w:val="00EA5C21"/>
    <w:rsid w:val="00F02A09"/>
    <w:rsid w:val="00F37044"/>
    <w:rsid w:val="00F53908"/>
    <w:rsid w:val="00F955B7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3E6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A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8E"/>
    <w:rPr>
      <w:rFonts w:ascii="Segoe UI" w:hAnsi="Segoe UI" w:cs="Segoe UI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DB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1CD"/>
    <w:rPr>
      <w:lang w:val="en-US"/>
    </w:rPr>
  </w:style>
  <w:style w:type="paragraph" w:styleId="a9">
    <w:name w:val="List Paragraph"/>
    <w:basedOn w:val="a"/>
    <w:uiPriority w:val="34"/>
    <w:qFormat/>
    <w:rsid w:val="0096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3E6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A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8E"/>
    <w:rPr>
      <w:rFonts w:ascii="Segoe UI" w:hAnsi="Segoe UI" w:cs="Segoe UI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DB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1CD"/>
    <w:rPr>
      <w:lang w:val="en-US"/>
    </w:rPr>
  </w:style>
  <w:style w:type="paragraph" w:styleId="a9">
    <w:name w:val="List Paragraph"/>
    <w:basedOn w:val="a"/>
    <w:uiPriority w:val="34"/>
    <w:qFormat/>
    <w:rsid w:val="009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48-1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97-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057-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3522</Words>
  <Characters>2009</Characters>
  <Application>Microsoft Office Word</Application>
  <DocSecurity>0</DocSecurity>
  <Lines>16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2020-07-10T06:20:00Z</dcterms:created>
  <dcterms:modified xsi:type="dcterms:W3CDTF">2020-07-10T06:22:00Z</dcterms:modified>
</cp:coreProperties>
</file>