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18" w:rsidRDefault="00F61118" w:rsidP="00F61118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EF1ECB">
        <w:rPr>
          <w:sz w:val="24"/>
        </w:rPr>
        <w:t>7</w:t>
      </w:r>
    </w:p>
    <w:p w:rsidR="00F61118" w:rsidRPr="00DA4C0B" w:rsidRDefault="00F61118" w:rsidP="00F61118">
      <w:pPr>
        <w:ind w:left="5664"/>
        <w:rPr>
          <w:sz w:val="18"/>
          <w:szCs w:val="18"/>
        </w:rPr>
      </w:pPr>
    </w:p>
    <w:p w:rsidR="00F61118" w:rsidRDefault="00F61118" w:rsidP="00F6111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61118" w:rsidRPr="005D7330" w:rsidRDefault="00F61118" w:rsidP="00F6111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F61118" w:rsidRDefault="00F61118" w:rsidP="00F61118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32687D">
        <w:rPr>
          <w:sz w:val="24"/>
        </w:rPr>
        <w:t>16</w:t>
      </w:r>
      <w:r>
        <w:rPr>
          <w:sz w:val="24"/>
        </w:rPr>
        <w:t xml:space="preserve"> березня</w:t>
      </w:r>
      <w:r w:rsidRPr="000E30A9">
        <w:rPr>
          <w:sz w:val="24"/>
        </w:rPr>
        <w:t xml:space="preserve"> </w:t>
      </w:r>
      <w:r>
        <w:rPr>
          <w:sz w:val="24"/>
        </w:rPr>
        <w:t>2021</w:t>
      </w:r>
      <w:r w:rsidR="005D273C">
        <w:rPr>
          <w:sz w:val="24"/>
        </w:rPr>
        <w:t xml:space="preserve"> </w:t>
      </w:r>
      <w:r>
        <w:rPr>
          <w:sz w:val="24"/>
        </w:rPr>
        <w:t xml:space="preserve">року № </w:t>
      </w:r>
      <w:r w:rsidR="0032687D">
        <w:rPr>
          <w:sz w:val="24"/>
        </w:rPr>
        <w:t>68</w:t>
      </w:r>
      <w:bookmarkStart w:id="0" w:name="_GoBack"/>
      <w:bookmarkEnd w:id="0"/>
    </w:p>
    <w:p w:rsidR="005D273C" w:rsidRDefault="005D273C" w:rsidP="00F61118">
      <w:pPr>
        <w:jc w:val="center"/>
        <w:rPr>
          <w:b/>
          <w:sz w:val="24"/>
        </w:rPr>
      </w:pPr>
    </w:p>
    <w:p w:rsidR="00F61118" w:rsidRPr="005D7330" w:rsidRDefault="00F61118" w:rsidP="00F6111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61118" w:rsidRPr="005D7330" w:rsidRDefault="00F61118" w:rsidP="00F6111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61118" w:rsidRPr="00673359" w:rsidRDefault="00F61118" w:rsidP="00F6111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61118" w:rsidRDefault="00F61118" w:rsidP="00F61118">
      <w:pPr>
        <w:jc w:val="center"/>
        <w:rPr>
          <w:rFonts w:eastAsia="Calibri" w:cs="Times New Roman"/>
          <w:color w:val="000000"/>
          <w:spacing w:val="-2"/>
          <w:sz w:val="24"/>
          <w:szCs w:val="24"/>
          <w:lang w:eastAsia="ru-RU"/>
        </w:rPr>
      </w:pPr>
      <w:r w:rsidRPr="00AE75F0">
        <w:rPr>
          <w:b/>
          <w:sz w:val="24"/>
          <w:szCs w:val="24"/>
        </w:rPr>
        <w:t>головного спеціаліста</w:t>
      </w:r>
      <w:r w:rsidRPr="00AE75F0">
        <w:rPr>
          <w:b/>
          <w:sz w:val="24"/>
          <w:szCs w:val="24"/>
          <w:lang w:eastAsia="uk-UA"/>
        </w:rPr>
        <w:t xml:space="preserve"> </w:t>
      </w:r>
      <w:r w:rsidRPr="000F4F0C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відділу інформаційного забезпечення учасників кримінального провадження управління організаційного забезпечення Єдиного реєстру досудових розслідувань та інформаційно-аналітичної роботи Офісу Генерального прокурора</w:t>
      </w:r>
      <w:r w:rsidRPr="001E6834">
        <w:rPr>
          <w:rFonts w:eastAsia="Calibri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F61118" w:rsidRPr="003A17EA" w:rsidRDefault="00F61118" w:rsidP="00F611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61118" w:rsidRPr="00FB1754" w:rsidTr="00A22051">
        <w:tc>
          <w:tcPr>
            <w:tcW w:w="9292" w:type="dxa"/>
            <w:gridSpan w:val="3"/>
            <w:vAlign w:val="center"/>
          </w:tcPr>
          <w:p w:rsidR="00F61118" w:rsidRPr="00FB1754" w:rsidRDefault="00F61118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61118" w:rsidRPr="00FB1754" w:rsidRDefault="00F61118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61118" w:rsidRPr="00FB1754" w:rsidTr="00A22051">
        <w:trPr>
          <w:trHeight w:val="772"/>
        </w:trPr>
        <w:tc>
          <w:tcPr>
            <w:tcW w:w="3330" w:type="dxa"/>
            <w:gridSpan w:val="2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sz w:val="24"/>
                <w:szCs w:val="24"/>
              </w:rPr>
              <w:t>забезпечення</w:t>
            </w:r>
            <w:r w:rsidR="00081DDA" w:rsidRPr="00081DDA">
              <w:rPr>
                <w:sz w:val="24"/>
                <w:szCs w:val="24"/>
              </w:rPr>
              <w:t xml:space="preserve"> на вимогу суду участ</w:t>
            </w:r>
            <w:r w:rsidR="00081DDA">
              <w:rPr>
                <w:sz w:val="24"/>
                <w:szCs w:val="24"/>
              </w:rPr>
              <w:t>і</w:t>
            </w:r>
            <w:r w:rsidR="00081DDA" w:rsidRPr="00081DDA">
              <w:rPr>
                <w:sz w:val="24"/>
                <w:szCs w:val="24"/>
              </w:rPr>
              <w:t xml:space="preserve"> у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провадженні, а також  розгляд і виконання в межах компетенції судових ухвал з цих питань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 межах компетенції виконання окремих доручень прокурора,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 України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розгляд</w:t>
            </w:r>
            <w:r w:rsidR="00081DDA">
              <w:rPr>
                <w:sz w:val="24"/>
                <w:szCs w:val="24"/>
              </w:rPr>
              <w:t>у</w:t>
            </w:r>
            <w:r w:rsidR="00081DDA" w:rsidRPr="00081DDA">
              <w:rPr>
                <w:sz w:val="24"/>
                <w:szCs w:val="24"/>
              </w:rPr>
              <w:t xml:space="preserve"> запитів державних органів, уповноважених на проведення спеціальної перевірки (перевірки) відомостей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>
              <w:rPr>
                <w:rFonts w:eastAsia="Calibri" w:cs="Times New Roman"/>
                <w:sz w:val="24"/>
                <w:szCs w:val="24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виконання в межах компетенції вимог Закону України «Про доступ до публічної інформації», у т</w:t>
            </w:r>
            <w:r w:rsidR="00081DDA">
              <w:rPr>
                <w:sz w:val="24"/>
                <w:szCs w:val="24"/>
              </w:rPr>
              <w:t xml:space="preserve">ому </w:t>
            </w:r>
            <w:r w:rsidR="00081DDA" w:rsidRPr="00081DDA">
              <w:rPr>
                <w:sz w:val="24"/>
                <w:szCs w:val="24"/>
              </w:rPr>
              <w:t>ч</w:t>
            </w:r>
            <w:r w:rsidR="009A6DFE">
              <w:rPr>
                <w:sz w:val="24"/>
                <w:szCs w:val="24"/>
              </w:rPr>
              <w:t>ислі</w:t>
            </w:r>
            <w:r w:rsidR="00081DDA" w:rsidRPr="00081DDA">
              <w:rPr>
                <w:sz w:val="24"/>
                <w:szCs w:val="24"/>
              </w:rPr>
              <w:t xml:space="preserve"> щодо оприлюднення інформації з питань, які належать до компетенції відділу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 xml:space="preserve">За дорученням керівництва </w:t>
            </w:r>
            <w:r w:rsidR="009A6DFE">
              <w:rPr>
                <w:sz w:val="24"/>
                <w:szCs w:val="24"/>
              </w:rPr>
              <w:t>підготовка</w:t>
            </w:r>
            <w:r w:rsidR="00081DDA" w:rsidRPr="00081DDA">
              <w:rPr>
                <w:sz w:val="24"/>
                <w:szCs w:val="24"/>
              </w:rPr>
              <w:t xml:space="preserve"> інформаці</w:t>
            </w:r>
            <w:r w:rsidR="009A6DFE">
              <w:rPr>
                <w:sz w:val="24"/>
                <w:szCs w:val="24"/>
              </w:rPr>
              <w:t>ї</w:t>
            </w:r>
            <w:r w:rsidR="00081DDA" w:rsidRPr="00081DDA">
              <w:rPr>
                <w:sz w:val="24"/>
                <w:szCs w:val="24"/>
              </w:rPr>
              <w:t xml:space="preserve"> для обміну з прокуратурами інших держав на підставі угод, учасником яких є Генеральна прокуратура України (Офіс Генерального прокурора)</w:t>
            </w:r>
            <w:r w:rsidRPr="00081DD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>За дорученням керівництва розгля</w:t>
            </w:r>
            <w:r w:rsidR="009A6DFE">
              <w:rPr>
                <w:sz w:val="24"/>
                <w:szCs w:val="24"/>
              </w:rPr>
              <w:t>д</w:t>
            </w:r>
            <w:r w:rsidR="00081DDA" w:rsidRPr="00081DDA">
              <w:rPr>
                <w:sz w:val="24"/>
                <w:szCs w:val="24"/>
              </w:rPr>
              <w:t xml:space="preserve"> звернен</w:t>
            </w:r>
            <w:r w:rsidR="009A6DFE">
              <w:rPr>
                <w:sz w:val="24"/>
                <w:szCs w:val="24"/>
              </w:rPr>
              <w:t>ь</w:t>
            </w:r>
            <w:r w:rsidR="00081DDA" w:rsidRPr="00081DDA">
              <w:rPr>
                <w:sz w:val="24"/>
                <w:szCs w:val="24"/>
              </w:rPr>
              <w:t xml:space="preserve"> громадян і юридичних осіб,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та звернен</w:t>
            </w:r>
            <w:r w:rsidR="009A6DFE">
              <w:rPr>
                <w:sz w:val="24"/>
                <w:szCs w:val="24"/>
              </w:rPr>
              <w:t>ь</w:t>
            </w:r>
            <w:r w:rsidR="00081DDA" w:rsidRPr="00081DDA">
              <w:rPr>
                <w:sz w:val="24"/>
                <w:szCs w:val="24"/>
              </w:rPr>
              <w:t xml:space="preserve"> народних депутаті</w:t>
            </w:r>
            <w:r w:rsidR="009A6DFE">
              <w:rPr>
                <w:sz w:val="24"/>
                <w:szCs w:val="24"/>
              </w:rPr>
              <w:t>в</w:t>
            </w:r>
            <w:r w:rsidR="00081DDA" w:rsidRPr="00081DDA">
              <w:rPr>
                <w:sz w:val="24"/>
                <w:szCs w:val="24"/>
              </w:rPr>
              <w:t xml:space="preserve">  України,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на інформацію, </w:t>
            </w:r>
            <w:r w:rsidR="00081DDA" w:rsidRPr="00081DDA">
              <w:rPr>
                <w:sz w:val="24"/>
                <w:szCs w:val="24"/>
              </w:rPr>
              <w:lastRenderedPageBreak/>
              <w:t>адвокатськ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, </w:t>
            </w:r>
            <w:r w:rsidR="009A6DFE">
              <w:rPr>
                <w:sz w:val="24"/>
                <w:szCs w:val="24"/>
              </w:rPr>
              <w:t>підготовка</w:t>
            </w:r>
            <w:r w:rsidR="00081DDA" w:rsidRPr="00081DDA">
              <w:rPr>
                <w:sz w:val="24"/>
                <w:szCs w:val="24"/>
              </w:rPr>
              <w:t xml:space="preserve"> проект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відповідей на них</w:t>
            </w:r>
            <w:r w:rsidRPr="00081DD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>участь у робочих зустрічах, конференціях, круглих столах, семінарах, нарадах, що проводяться органами державної влади та міжнародними організаціями з питань, що відносяться до компетенції відділу, а також у заходах щодо підвищення кваліфікації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sz w:val="24"/>
                <w:szCs w:val="24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9A6DFE">
              <w:rPr>
                <w:sz w:val="24"/>
                <w:szCs w:val="24"/>
              </w:rPr>
              <w:t>внесення</w:t>
            </w:r>
            <w:r w:rsidR="00081DDA" w:rsidRPr="00081DDA">
              <w:rPr>
                <w:sz w:val="24"/>
                <w:szCs w:val="24"/>
              </w:rPr>
              <w:t xml:space="preserve"> відомост</w:t>
            </w:r>
            <w:r w:rsidR="009A6DFE">
              <w:rPr>
                <w:sz w:val="24"/>
                <w:szCs w:val="24"/>
              </w:rPr>
              <w:t>ей</w:t>
            </w:r>
            <w:r w:rsidR="00081DDA" w:rsidRPr="00081DDA">
              <w:rPr>
                <w:sz w:val="24"/>
                <w:szCs w:val="24"/>
              </w:rPr>
              <w:t xml:space="preserve"> до ІАС «ОСОП», забезпеч</w:t>
            </w:r>
            <w:r w:rsidR="009A6DFE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повнот</w:t>
            </w:r>
            <w:r w:rsidR="009A6DFE">
              <w:rPr>
                <w:sz w:val="24"/>
                <w:szCs w:val="24"/>
              </w:rPr>
              <w:t>и</w:t>
            </w:r>
            <w:r w:rsidR="00081DDA" w:rsidRPr="00081DDA">
              <w:rPr>
                <w:sz w:val="24"/>
                <w:szCs w:val="24"/>
              </w:rPr>
              <w:t xml:space="preserve"> і достовірності відповідних даних, опрац</w:t>
            </w:r>
            <w:r w:rsidR="009A6DFE">
              <w:rPr>
                <w:sz w:val="24"/>
                <w:szCs w:val="24"/>
              </w:rPr>
              <w:t>ювання</w:t>
            </w:r>
            <w:r w:rsidR="00081DDA" w:rsidRPr="00081DDA">
              <w:rPr>
                <w:sz w:val="24"/>
                <w:szCs w:val="24"/>
              </w:rPr>
              <w:t xml:space="preserve"> документ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в ІС «СЕД», накопич</w:t>
            </w:r>
            <w:r w:rsidR="009A6DFE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і систематиз</w:t>
            </w:r>
            <w:r w:rsidR="009A6DFE">
              <w:rPr>
                <w:sz w:val="24"/>
                <w:szCs w:val="24"/>
              </w:rPr>
              <w:t>ація</w:t>
            </w:r>
            <w:r w:rsidR="00081DDA" w:rsidRPr="00081DDA">
              <w:rPr>
                <w:sz w:val="24"/>
                <w:szCs w:val="24"/>
              </w:rPr>
              <w:t xml:space="preserve"> необхідн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для роботи інформаційн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матеріал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>, веде</w:t>
            </w:r>
            <w:r w:rsidR="009A6DFE">
              <w:rPr>
                <w:sz w:val="24"/>
                <w:szCs w:val="24"/>
              </w:rPr>
              <w:t>ння</w:t>
            </w:r>
            <w:r w:rsidR="00081DDA" w:rsidRPr="00081DDA">
              <w:rPr>
                <w:sz w:val="24"/>
                <w:szCs w:val="24"/>
              </w:rPr>
              <w:t xml:space="preserve"> облік</w:t>
            </w:r>
            <w:r w:rsidR="009A6DFE">
              <w:rPr>
                <w:sz w:val="24"/>
                <w:szCs w:val="24"/>
              </w:rPr>
              <w:t>у</w:t>
            </w:r>
            <w:r w:rsidR="00081DDA" w:rsidRPr="00081DDA">
              <w:rPr>
                <w:sz w:val="24"/>
                <w:szCs w:val="24"/>
              </w:rPr>
              <w:t xml:space="preserve"> виконаної роботи;</w:t>
            </w:r>
          </w:p>
          <w:p w:rsidR="00081DDA" w:rsidRPr="00081DDA" w:rsidRDefault="00081DDA" w:rsidP="00F61118">
            <w:pPr>
              <w:spacing w:after="120"/>
              <w:rPr>
                <w:bCs/>
                <w:sz w:val="24"/>
                <w:szCs w:val="24"/>
              </w:rPr>
            </w:pPr>
            <w:r w:rsidRPr="00081DDA">
              <w:rPr>
                <w:bCs/>
                <w:sz w:val="24"/>
                <w:szCs w:val="24"/>
              </w:rPr>
              <w:t xml:space="preserve">- </w:t>
            </w:r>
            <w:r w:rsidRPr="00081DDA">
              <w:rPr>
                <w:sz w:val="24"/>
                <w:szCs w:val="24"/>
              </w:rPr>
              <w:t>Забезпечує збереження інформації з обмеженим доступом.</w:t>
            </w:r>
          </w:p>
        </w:tc>
      </w:tr>
      <w:tr w:rsidR="00F61118" w:rsidRPr="00FB1754" w:rsidTr="00A22051">
        <w:trPr>
          <w:trHeight w:val="630"/>
        </w:trPr>
        <w:tc>
          <w:tcPr>
            <w:tcW w:w="3330" w:type="dxa"/>
            <w:gridSpan w:val="2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61118" w:rsidRPr="00B63560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 xml:space="preserve">14300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F61118" w:rsidRPr="006C3161" w:rsidRDefault="00F61118" w:rsidP="00A22051">
            <w:pPr>
              <w:rPr>
                <w:sz w:val="12"/>
                <w:szCs w:val="12"/>
              </w:rPr>
            </w:pPr>
          </w:p>
        </w:tc>
      </w:tr>
      <w:tr w:rsidR="00F61118" w:rsidRPr="00FB1754" w:rsidTr="00A22051">
        <w:tc>
          <w:tcPr>
            <w:tcW w:w="3330" w:type="dxa"/>
            <w:gridSpan w:val="2"/>
          </w:tcPr>
          <w:p w:rsidR="00F61118" w:rsidRPr="00FB1754" w:rsidRDefault="00F61118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61118" w:rsidRPr="00FB1754" w:rsidRDefault="00F61118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F61118" w:rsidRPr="00FB1754" w:rsidTr="00A22051">
        <w:tc>
          <w:tcPr>
            <w:tcW w:w="3330" w:type="dxa"/>
            <w:gridSpan w:val="2"/>
          </w:tcPr>
          <w:p w:rsidR="00F61118" w:rsidRPr="00FB1754" w:rsidRDefault="00F61118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61118" w:rsidRPr="00796613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F61118" w:rsidRPr="00FB1754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F61118" w:rsidRPr="002D6B2F" w:rsidRDefault="00F61118" w:rsidP="00A22051">
            <w:pPr>
              <w:spacing w:after="60"/>
              <w:rPr>
                <w:sz w:val="6"/>
                <w:szCs w:val="6"/>
              </w:rPr>
            </w:pPr>
          </w:p>
          <w:p w:rsidR="00F61118" w:rsidRDefault="00F61118" w:rsidP="00A22051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приймаються до</w:t>
            </w:r>
            <w:r w:rsidRPr="00FB1754">
              <w:rPr>
                <w:sz w:val="24"/>
              </w:rPr>
              <w:t xml:space="preserve"> </w:t>
            </w:r>
            <w:r w:rsidR="0032687D">
              <w:rPr>
                <w:b/>
                <w:sz w:val="24"/>
              </w:rPr>
              <w:t>17</w:t>
            </w:r>
            <w:r w:rsidRPr="00796613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32687D">
              <w:rPr>
                <w:b/>
                <w:sz w:val="24"/>
              </w:rPr>
              <w:t>24</w:t>
            </w:r>
            <w:r w:rsidRPr="007966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березня </w:t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796613">
              <w:rPr>
                <w:b/>
                <w:sz w:val="24"/>
              </w:rPr>
              <w:t xml:space="preserve"> року</w:t>
            </w:r>
          </w:p>
          <w:p w:rsidR="00F61118" w:rsidRPr="001F026C" w:rsidRDefault="00F61118" w:rsidP="00A22051">
            <w:pPr>
              <w:spacing w:after="40"/>
              <w:rPr>
                <w:b/>
                <w:sz w:val="24"/>
              </w:rPr>
            </w:pPr>
          </w:p>
        </w:tc>
      </w:tr>
      <w:tr w:rsidR="00F61118" w:rsidRPr="00FD62BB" w:rsidTr="00A22051">
        <w:tc>
          <w:tcPr>
            <w:tcW w:w="3330" w:type="dxa"/>
            <w:gridSpan w:val="2"/>
          </w:tcPr>
          <w:p w:rsidR="00F61118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61118" w:rsidRPr="007350B5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61118" w:rsidRPr="007350B5" w:rsidRDefault="00F61118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61118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1118" w:rsidRDefault="00F61118" w:rsidP="00A22051">
            <w:pPr>
              <w:rPr>
                <w:sz w:val="12"/>
                <w:szCs w:val="12"/>
                <w:lang w:eastAsia="ru-RU"/>
              </w:rPr>
            </w:pPr>
          </w:p>
          <w:p w:rsidR="00F61118" w:rsidRPr="00E84E82" w:rsidRDefault="00F61118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F61118" w:rsidRPr="00FD62BB" w:rsidTr="00A22051">
        <w:tc>
          <w:tcPr>
            <w:tcW w:w="3330" w:type="dxa"/>
            <w:gridSpan w:val="2"/>
          </w:tcPr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F61118" w:rsidRPr="002A4059" w:rsidRDefault="00F61118" w:rsidP="00A22051">
            <w:pPr>
              <w:jc w:val="left"/>
              <w:rPr>
                <w:sz w:val="12"/>
                <w:szCs w:val="12"/>
              </w:rPr>
            </w:pP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</w:p>
          <w:p w:rsidR="00F61118" w:rsidRPr="002A4059" w:rsidRDefault="00F61118" w:rsidP="00A22051">
            <w:pPr>
              <w:jc w:val="left"/>
              <w:rPr>
                <w:sz w:val="48"/>
                <w:szCs w:val="48"/>
              </w:rPr>
            </w:pP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F61118" w:rsidRPr="007350B5" w:rsidRDefault="00F61118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61118" w:rsidRDefault="00F61118" w:rsidP="00A22051">
            <w:pPr>
              <w:rPr>
                <w:b/>
                <w:sz w:val="24"/>
                <w:szCs w:val="24"/>
              </w:rPr>
            </w:pPr>
          </w:p>
          <w:p w:rsidR="00F61118" w:rsidRPr="007350B5" w:rsidRDefault="0032687D" w:rsidP="00A220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611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квітня</w:t>
            </w:r>
            <w:r w:rsidR="00F61118" w:rsidRPr="007350B5">
              <w:rPr>
                <w:sz w:val="24"/>
                <w:szCs w:val="24"/>
              </w:rPr>
              <w:t xml:space="preserve"> </w:t>
            </w:r>
            <w:r w:rsidR="00F61118" w:rsidRPr="007350B5">
              <w:rPr>
                <w:b/>
                <w:sz w:val="24"/>
                <w:szCs w:val="24"/>
              </w:rPr>
              <w:t>20</w:t>
            </w:r>
            <w:r w:rsidR="00F61118">
              <w:rPr>
                <w:b/>
                <w:sz w:val="24"/>
                <w:szCs w:val="24"/>
              </w:rPr>
              <w:t>21</w:t>
            </w:r>
            <w:r w:rsidR="00F61118" w:rsidRPr="007350B5">
              <w:rPr>
                <w:b/>
                <w:sz w:val="24"/>
                <w:szCs w:val="24"/>
              </w:rPr>
              <w:t xml:space="preserve"> року</w:t>
            </w:r>
            <w:r w:rsidR="00F61118" w:rsidRPr="007350B5">
              <w:rPr>
                <w:sz w:val="24"/>
                <w:szCs w:val="24"/>
              </w:rPr>
              <w:t xml:space="preserve"> о 1</w:t>
            </w:r>
            <w:r w:rsidR="00F61118">
              <w:rPr>
                <w:sz w:val="24"/>
                <w:szCs w:val="24"/>
              </w:rPr>
              <w:t>0</w:t>
            </w:r>
            <w:r w:rsidR="00F61118" w:rsidRPr="007350B5">
              <w:rPr>
                <w:sz w:val="24"/>
                <w:szCs w:val="24"/>
              </w:rPr>
              <w:t xml:space="preserve"> год. 00 хв.</w:t>
            </w:r>
          </w:p>
          <w:p w:rsidR="00F61118" w:rsidRPr="00167E00" w:rsidRDefault="00F61118" w:rsidP="00A22051">
            <w:pPr>
              <w:rPr>
                <w:sz w:val="12"/>
                <w:szCs w:val="12"/>
              </w:rPr>
            </w:pPr>
          </w:p>
          <w:p w:rsidR="00F61118" w:rsidRDefault="00F61118" w:rsidP="00A220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F61118" w:rsidRPr="002274AA" w:rsidRDefault="00F61118" w:rsidP="00A2205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Тренінговий центр прокурорів 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F61118" w:rsidRDefault="00F61118" w:rsidP="00A22051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м. Київ, вул</w:t>
            </w:r>
            <w:r>
              <w:rPr>
                <w:sz w:val="24"/>
                <w:szCs w:val="24"/>
              </w:rPr>
              <w:t>. Юрія Іллєнка, 81-Б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</w:p>
          <w:p w:rsidR="00F61118" w:rsidRPr="00772F93" w:rsidRDefault="00F61118" w:rsidP="00A22051">
            <w:pPr>
              <w:rPr>
                <w:b/>
                <w:sz w:val="24"/>
                <w:szCs w:val="24"/>
              </w:rPr>
            </w:pPr>
            <w:r w:rsidRPr="00772F93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Pr="007350B5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.</w:t>
            </w:r>
            <w:r w:rsidRPr="007350B5">
              <w:rPr>
                <w:sz w:val="24"/>
                <w:szCs w:val="24"/>
              </w:rPr>
              <w:t xml:space="preserve"> Різницька, 13/15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F61118" w:rsidRPr="007350B5" w:rsidRDefault="00F61118" w:rsidP="00A22051">
            <w:pPr>
              <w:rPr>
                <w:sz w:val="24"/>
                <w:szCs w:val="24"/>
              </w:rPr>
            </w:pPr>
          </w:p>
        </w:tc>
      </w:tr>
      <w:tr w:rsidR="009A6DFE" w:rsidRPr="00FB1754" w:rsidTr="00A22051">
        <w:tc>
          <w:tcPr>
            <w:tcW w:w="3330" w:type="dxa"/>
            <w:gridSpan w:val="2"/>
          </w:tcPr>
          <w:p w:rsidR="009A6DFE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A6DFE" w:rsidRPr="00FB1754" w:rsidRDefault="009A6DFE" w:rsidP="009A6DFE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 xml:space="preserve">levchenko.av@gp.gov.ua </w:t>
            </w:r>
          </w:p>
        </w:tc>
      </w:tr>
      <w:tr w:rsidR="009A6DFE" w:rsidRPr="00FB1754" w:rsidTr="00A22051">
        <w:tc>
          <w:tcPr>
            <w:tcW w:w="9292" w:type="dxa"/>
            <w:gridSpan w:val="3"/>
          </w:tcPr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9A6DFE" w:rsidRPr="005D273C" w:rsidRDefault="009A6DFE" w:rsidP="009A6DFE">
            <w:pPr>
              <w:rPr>
                <w:sz w:val="24"/>
                <w:szCs w:val="24"/>
              </w:rPr>
            </w:pPr>
            <w:r w:rsidRPr="005D273C">
              <w:rPr>
                <w:sz w:val="24"/>
                <w:shd w:val="clear" w:color="auto" w:fill="FFFFFF"/>
              </w:rPr>
              <w:t>вища</w:t>
            </w:r>
            <w:r w:rsidRPr="005D273C">
              <w:rPr>
                <w:sz w:val="24"/>
              </w:rPr>
              <w:t xml:space="preserve"> освіта</w:t>
            </w:r>
            <w:r w:rsidRPr="005D273C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5D273C">
              <w:rPr>
                <w:sz w:val="24"/>
                <w:szCs w:val="24"/>
              </w:rPr>
              <w:t>(спеціальність «Право»)</w:t>
            </w:r>
          </w:p>
          <w:p w:rsidR="009A6DFE" w:rsidRPr="005D273C" w:rsidRDefault="009A6DFE" w:rsidP="009A6DFE">
            <w:pPr>
              <w:rPr>
                <w:sz w:val="6"/>
                <w:szCs w:val="6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9A6DFE" w:rsidRPr="00BE7D2E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9A6DFE" w:rsidRPr="00FB1754" w:rsidRDefault="009A6DFE" w:rsidP="009A6DFE">
            <w:pPr>
              <w:rPr>
                <w:sz w:val="12"/>
                <w:szCs w:val="12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9A6DFE" w:rsidRPr="00FB1754" w:rsidTr="00A22051">
        <w:tc>
          <w:tcPr>
            <w:tcW w:w="9292" w:type="dxa"/>
            <w:gridSpan w:val="3"/>
            <w:vAlign w:val="center"/>
          </w:tcPr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9A6DFE" w:rsidRPr="00FB1754" w:rsidRDefault="009A6DFE" w:rsidP="009A6DF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9A6DFE" w:rsidRPr="00B41DF4" w:rsidRDefault="009A6DFE" w:rsidP="009A6D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9A6DFE" w:rsidRPr="00B41DF4" w:rsidRDefault="009A6DFE" w:rsidP="009A6DFE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9A6DFE" w:rsidRPr="00B41DF4" w:rsidRDefault="009A6DFE" w:rsidP="009A6D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9A6DFE" w:rsidRPr="00B41DF4" w:rsidRDefault="009A6DFE" w:rsidP="009A6DFE">
            <w:pPr>
              <w:rPr>
                <w:b/>
                <w:sz w:val="4"/>
                <w:szCs w:val="4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Робота з  великими масивами інформації</w:t>
            </w: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D3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72D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міння систематизувати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великий масив інформації;</w:t>
            </w:r>
          </w:p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виділяти головне, робити чіткі,  структуровані висновки;</w:t>
            </w:r>
          </w:p>
          <w:p w:rsidR="009A6DFE" w:rsidRPr="00B72D36" w:rsidRDefault="009A6DFE" w:rsidP="009A6DFE">
            <w:pPr>
              <w:spacing w:line="310" w:lineRule="exact"/>
              <w:ind w:left="95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встановлювати логічні взаємозв’язки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 w:rsidRPr="00FE4F93">
              <w:rPr>
                <w:sz w:val="24"/>
              </w:rPr>
              <w:t>Аналітичні здібності</w:t>
            </w:r>
          </w:p>
          <w:p w:rsidR="009A6DFE" w:rsidRPr="00FE4F93" w:rsidRDefault="009A6DFE" w:rsidP="009A6D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sz w:val="24"/>
                <w:szCs w:val="24"/>
              </w:rPr>
            </w:pPr>
            <w:r w:rsidRPr="00FE4F93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FE4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 аналізувати інформацію, робити висновки,  узагальнення, виявляти закономірності;</w:t>
            </w:r>
          </w:p>
          <w:p w:rsidR="009A6DFE" w:rsidRPr="00FE4F93" w:rsidRDefault="009A6DFE" w:rsidP="009A6DFE">
            <w:pPr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встановлювати причинно-наслідкові зв’язки та конкретизувати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Самоорганізація та самостійність в роботі</w:t>
            </w:r>
          </w:p>
          <w:p w:rsidR="009A6DFE" w:rsidRPr="00FE4F93" w:rsidRDefault="009A6DFE" w:rsidP="009A6D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9A6DFE" w:rsidRPr="00FE4F93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вміння самостійно приймати рішення та виконувати завдання у процесі професійної діяльності</w:t>
            </w:r>
          </w:p>
          <w:p w:rsidR="009A6DFE" w:rsidRPr="00FE4F93" w:rsidRDefault="009A6DFE" w:rsidP="009A6DFE">
            <w:pPr>
              <w:widowControl w:val="0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9A6DFE" w:rsidRPr="00FB1754" w:rsidTr="00A22051">
        <w:tc>
          <w:tcPr>
            <w:tcW w:w="9292" w:type="dxa"/>
            <w:gridSpan w:val="3"/>
          </w:tcPr>
          <w:p w:rsidR="009A6DFE" w:rsidRPr="00FB1754" w:rsidRDefault="009A6DFE" w:rsidP="009A6DFE">
            <w:pPr>
              <w:jc w:val="center"/>
              <w:rPr>
                <w:b/>
                <w:sz w:val="4"/>
                <w:szCs w:val="4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9A6DFE" w:rsidRPr="00FB1754" w:rsidRDefault="009A6DFE" w:rsidP="009A6DFE">
            <w:pPr>
              <w:rPr>
                <w:sz w:val="4"/>
                <w:szCs w:val="4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9A6DFE" w:rsidRPr="003578AE" w:rsidRDefault="009A6DFE" w:rsidP="009A6DFE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9A6DFE" w:rsidRPr="003578AE" w:rsidRDefault="009A6DFE" w:rsidP="009A6DFE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9A6DFE" w:rsidRPr="003578AE" w:rsidRDefault="009A6DFE" w:rsidP="009A6DFE">
            <w:pPr>
              <w:rPr>
                <w:b/>
                <w:sz w:val="6"/>
                <w:szCs w:val="6"/>
              </w:rPr>
            </w:pPr>
          </w:p>
        </w:tc>
      </w:tr>
      <w:tr w:rsidR="009A6DFE" w:rsidRPr="00FB1754" w:rsidTr="00A22051">
        <w:trPr>
          <w:trHeight w:val="1440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9A6DFE" w:rsidRDefault="009A6DFE" w:rsidP="009A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Конституції України;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</w:rPr>
              <w:t>Закону України «Про державну службу»;</w:t>
            </w:r>
          </w:p>
          <w:p w:rsidR="009A6DFE" w:rsidRPr="00DF131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rFonts w:eastAsia="Calibri" w:cs="Times New Roman"/>
                <w:sz w:val="24"/>
                <w:szCs w:val="24"/>
              </w:rPr>
            </w:pPr>
            <w:r w:rsidRPr="009A6DFE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9A6DFE" w:rsidRPr="00FB1754" w:rsidTr="00A22051">
        <w:trPr>
          <w:trHeight w:val="488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9A6DFE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9A6DFE" w:rsidRPr="00FB1754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9A6DFE" w:rsidRDefault="009A6DFE" w:rsidP="009A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прокуратуру»;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</w:tc>
      </w:tr>
      <w:tr w:rsidR="009A6DFE" w:rsidRPr="00FB1754" w:rsidTr="00A22051">
        <w:trPr>
          <w:trHeight w:val="751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9A6DFE" w:rsidRDefault="009A6DFE" w:rsidP="009A6DFE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62" w:type="dxa"/>
          </w:tcPr>
          <w:p w:rsidR="009A6DFE" w:rsidRDefault="009A6DFE" w:rsidP="009A6DFE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:rsidR="00F61118" w:rsidRPr="00CE0C8F" w:rsidRDefault="00F61118" w:rsidP="00F61118">
      <w:pPr>
        <w:rPr>
          <w:sz w:val="2"/>
          <w:szCs w:val="2"/>
        </w:rPr>
      </w:pPr>
    </w:p>
    <w:p w:rsidR="00F61118" w:rsidRDefault="00F61118" w:rsidP="00F61118"/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FB" w:rsidRDefault="00AC00FB">
      <w:r>
        <w:separator/>
      </w:r>
    </w:p>
  </w:endnote>
  <w:endnote w:type="continuationSeparator" w:id="0">
    <w:p w:rsidR="00AC00FB" w:rsidRDefault="00A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FB" w:rsidRDefault="00AC00FB">
      <w:r>
        <w:separator/>
      </w:r>
    </w:p>
  </w:footnote>
  <w:footnote w:type="continuationSeparator" w:id="0">
    <w:p w:rsidR="00AC00FB" w:rsidRDefault="00A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61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F8">
          <w:rPr>
            <w:noProof/>
          </w:rPr>
          <w:t>4</w:t>
        </w:r>
        <w:r>
          <w:fldChar w:fldCharType="end"/>
        </w:r>
      </w:p>
    </w:sdtContent>
  </w:sdt>
  <w:p w:rsidR="00524480" w:rsidRDefault="00326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D7A"/>
    <w:multiLevelType w:val="hybridMultilevel"/>
    <w:tmpl w:val="AFC4879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18"/>
    <w:rsid w:val="00005691"/>
    <w:rsid w:val="0002290A"/>
    <w:rsid w:val="00036507"/>
    <w:rsid w:val="00052422"/>
    <w:rsid w:val="00054A67"/>
    <w:rsid w:val="000644CC"/>
    <w:rsid w:val="00076C4F"/>
    <w:rsid w:val="00081DDA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603F"/>
    <w:rsid w:val="00200B45"/>
    <w:rsid w:val="00225630"/>
    <w:rsid w:val="002320C7"/>
    <w:rsid w:val="002324B6"/>
    <w:rsid w:val="00235015"/>
    <w:rsid w:val="0027544A"/>
    <w:rsid w:val="00321539"/>
    <w:rsid w:val="0032687D"/>
    <w:rsid w:val="00334ED8"/>
    <w:rsid w:val="003451DF"/>
    <w:rsid w:val="00377D2E"/>
    <w:rsid w:val="00387F76"/>
    <w:rsid w:val="003D24DF"/>
    <w:rsid w:val="003F18F7"/>
    <w:rsid w:val="00417C11"/>
    <w:rsid w:val="0045312E"/>
    <w:rsid w:val="004774CD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D273C"/>
    <w:rsid w:val="005E5D48"/>
    <w:rsid w:val="006467B3"/>
    <w:rsid w:val="006A7CB5"/>
    <w:rsid w:val="006B6FA7"/>
    <w:rsid w:val="007176CC"/>
    <w:rsid w:val="00727AF8"/>
    <w:rsid w:val="00755D1C"/>
    <w:rsid w:val="00770170"/>
    <w:rsid w:val="00777899"/>
    <w:rsid w:val="007F6942"/>
    <w:rsid w:val="00850AE4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A6DFE"/>
    <w:rsid w:val="009B4439"/>
    <w:rsid w:val="009F0F0B"/>
    <w:rsid w:val="00A532F8"/>
    <w:rsid w:val="00A66628"/>
    <w:rsid w:val="00A92A83"/>
    <w:rsid w:val="00AA7018"/>
    <w:rsid w:val="00AB775D"/>
    <w:rsid w:val="00AC00FB"/>
    <w:rsid w:val="00AC1AB6"/>
    <w:rsid w:val="00AC309A"/>
    <w:rsid w:val="00AD61A5"/>
    <w:rsid w:val="00AE275C"/>
    <w:rsid w:val="00B16393"/>
    <w:rsid w:val="00B2620B"/>
    <w:rsid w:val="00B67CCA"/>
    <w:rsid w:val="00B70A36"/>
    <w:rsid w:val="00B87AC5"/>
    <w:rsid w:val="00BA0C48"/>
    <w:rsid w:val="00BA1890"/>
    <w:rsid w:val="00BD395D"/>
    <w:rsid w:val="00BD5DEA"/>
    <w:rsid w:val="00BE5C2B"/>
    <w:rsid w:val="00CB21A9"/>
    <w:rsid w:val="00CD5003"/>
    <w:rsid w:val="00D03B57"/>
    <w:rsid w:val="00D04AFE"/>
    <w:rsid w:val="00D20557"/>
    <w:rsid w:val="00D2682E"/>
    <w:rsid w:val="00D44A83"/>
    <w:rsid w:val="00D675CF"/>
    <w:rsid w:val="00D92512"/>
    <w:rsid w:val="00DB3FD8"/>
    <w:rsid w:val="00DD1F08"/>
    <w:rsid w:val="00DF689F"/>
    <w:rsid w:val="00E070E6"/>
    <w:rsid w:val="00E15459"/>
    <w:rsid w:val="00E32975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EF1ECB"/>
    <w:rsid w:val="00F10396"/>
    <w:rsid w:val="00F12D65"/>
    <w:rsid w:val="00F24DD7"/>
    <w:rsid w:val="00F34466"/>
    <w:rsid w:val="00F40720"/>
    <w:rsid w:val="00F42651"/>
    <w:rsid w:val="00F61118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DC9"/>
  <w15:chartTrackingRefBased/>
  <w15:docId w15:val="{FCC540D5-4946-43E3-9DD5-B82B00B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6D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11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111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61118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A6D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273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4</cp:revision>
  <cp:lastPrinted>2021-03-17T12:18:00Z</cp:lastPrinted>
  <dcterms:created xsi:type="dcterms:W3CDTF">2021-03-16T14:00:00Z</dcterms:created>
  <dcterms:modified xsi:type="dcterms:W3CDTF">2021-03-17T12:23:00Z</dcterms:modified>
</cp:coreProperties>
</file>