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7A" w:rsidRPr="00290E54" w:rsidRDefault="0011047A" w:rsidP="00FA78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="00BC61C2"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="00BC61C2"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="00BC61C2" w:rsidRPr="00290E54">
        <w:rPr>
          <w:rFonts w:ascii="Times New Roman" w:hAnsi="Times New Roman"/>
          <w:b/>
          <w:sz w:val="28"/>
          <w:szCs w:val="28"/>
          <w:lang w:val="uk-UA"/>
        </w:rPr>
        <w:tab/>
      </w:r>
      <w:r w:rsidRPr="00290E54"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BC61C2" w:rsidRPr="00290E54">
        <w:rPr>
          <w:rFonts w:ascii="Times New Roman" w:hAnsi="Times New Roman"/>
          <w:b/>
          <w:i/>
          <w:sz w:val="28"/>
          <w:szCs w:val="28"/>
          <w:lang w:val="uk-UA"/>
        </w:rPr>
        <w:t>ОДАТОК</w:t>
      </w:r>
      <w:r w:rsidRPr="00290E54">
        <w:rPr>
          <w:rFonts w:ascii="Times New Roman" w:hAnsi="Times New Roman"/>
          <w:b/>
          <w:i/>
          <w:sz w:val="28"/>
          <w:szCs w:val="28"/>
          <w:lang w:val="uk-UA"/>
        </w:rPr>
        <w:t xml:space="preserve"> 1</w:t>
      </w:r>
    </w:p>
    <w:p w:rsidR="0011047A" w:rsidRPr="00290E54" w:rsidRDefault="0011047A" w:rsidP="0011047A">
      <w:pPr>
        <w:spacing w:after="0" w:line="240" w:lineRule="auto"/>
        <w:ind w:left="991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90E54">
        <w:rPr>
          <w:rFonts w:ascii="Times New Roman" w:hAnsi="Times New Roman"/>
          <w:i/>
          <w:sz w:val="28"/>
          <w:szCs w:val="28"/>
          <w:lang w:val="uk-UA"/>
        </w:rPr>
        <w:t>до Звіту за результатами оцінки корупційних ризиків у діяльності органів прокуратури</w:t>
      </w:r>
    </w:p>
    <w:p w:rsidR="0011047A" w:rsidRDefault="0011047A" w:rsidP="0011047A">
      <w:pPr>
        <w:spacing w:after="0" w:line="240" w:lineRule="auto"/>
        <w:ind w:left="920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4C1B" w:rsidRDefault="00724C1B" w:rsidP="0011047A">
      <w:pPr>
        <w:spacing w:after="0" w:line="240" w:lineRule="auto"/>
        <w:ind w:left="920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61A3" w:rsidRPr="00290E54" w:rsidRDefault="002F61A3" w:rsidP="002F6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E54">
        <w:rPr>
          <w:rFonts w:ascii="Times New Roman" w:hAnsi="Times New Roman"/>
          <w:b/>
          <w:sz w:val="28"/>
          <w:szCs w:val="28"/>
          <w:lang w:val="uk-UA"/>
        </w:rPr>
        <w:t xml:space="preserve">Опис ідентифікованих корупційних ризиків у діяльності </w:t>
      </w:r>
      <w:r w:rsidR="0011047A" w:rsidRPr="00290E54">
        <w:rPr>
          <w:rFonts w:ascii="Times New Roman" w:hAnsi="Times New Roman"/>
          <w:b/>
          <w:sz w:val="28"/>
          <w:szCs w:val="28"/>
          <w:lang w:val="uk-UA"/>
        </w:rPr>
        <w:t>органів</w:t>
      </w:r>
      <w:r w:rsidRPr="00290E54">
        <w:rPr>
          <w:rFonts w:ascii="Times New Roman" w:hAnsi="Times New Roman"/>
          <w:b/>
          <w:sz w:val="28"/>
          <w:szCs w:val="28"/>
          <w:lang w:val="uk-UA"/>
        </w:rPr>
        <w:t xml:space="preserve"> прокуратури, </w:t>
      </w:r>
    </w:p>
    <w:p w:rsidR="0011047A" w:rsidRPr="00290E54" w:rsidRDefault="002F61A3" w:rsidP="002F6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E54">
        <w:rPr>
          <w:rFonts w:ascii="Times New Roman" w:hAnsi="Times New Roman"/>
          <w:b/>
          <w:sz w:val="28"/>
          <w:szCs w:val="28"/>
          <w:lang w:val="uk-UA"/>
        </w:rPr>
        <w:t xml:space="preserve">чинники корупційних ризиків та можливі наслідки корупційного правопорушення </w:t>
      </w:r>
    </w:p>
    <w:p w:rsidR="002F61A3" w:rsidRPr="00290E54" w:rsidRDefault="002F61A3" w:rsidP="002F6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E54">
        <w:rPr>
          <w:rFonts w:ascii="Times New Roman" w:hAnsi="Times New Roman"/>
          <w:b/>
          <w:sz w:val="28"/>
          <w:szCs w:val="28"/>
          <w:lang w:val="uk-UA"/>
        </w:rPr>
        <w:t xml:space="preserve">чи правопорушення, пов’язаного з корупцією </w:t>
      </w:r>
    </w:p>
    <w:p w:rsidR="008648D2" w:rsidRPr="00290E54" w:rsidRDefault="008648D2" w:rsidP="00864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859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945"/>
        <w:gridCol w:w="3817"/>
        <w:gridCol w:w="3570"/>
        <w:gridCol w:w="3801"/>
      </w:tblGrid>
      <w:tr w:rsidR="00DB2E0C" w:rsidRPr="00290E54" w:rsidTr="00AC0AA3">
        <w:trPr>
          <w:trHeight w:val="126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B2E0C" w:rsidRPr="00290E54" w:rsidRDefault="00D3108F" w:rsidP="00AC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B2E0C" w:rsidRPr="00290E54" w:rsidRDefault="00DB2E0C" w:rsidP="00AC0A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90E5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Ідентифікований корупційний ризик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B2E0C" w:rsidRPr="00290E54" w:rsidRDefault="00DB2E0C" w:rsidP="00AC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90E5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B2E0C" w:rsidRPr="00290E54" w:rsidRDefault="00DB2E0C" w:rsidP="00AC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90E5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Чинники корупційного ризику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B2E0C" w:rsidRPr="00290E54" w:rsidRDefault="00DB2E0C" w:rsidP="00AC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90E5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</w:tbl>
    <w:p w:rsidR="00AC0AA3" w:rsidRDefault="00AC0AA3" w:rsidP="00AC0AA3">
      <w:pPr>
        <w:spacing w:after="0" w:line="24" w:lineRule="auto"/>
      </w:pPr>
    </w:p>
    <w:tbl>
      <w:tblPr>
        <w:tblW w:w="14859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945"/>
        <w:gridCol w:w="3817"/>
        <w:gridCol w:w="3570"/>
        <w:gridCol w:w="3801"/>
      </w:tblGrid>
      <w:tr w:rsidR="00AC0AA3" w:rsidRPr="004D2B97" w:rsidTr="00C31070">
        <w:trPr>
          <w:trHeight w:val="262"/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0AA3" w:rsidRPr="004D2B97" w:rsidRDefault="00AC0AA3" w:rsidP="00AC0AA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D2B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0AA3" w:rsidRPr="004D2B97" w:rsidRDefault="00AC0AA3" w:rsidP="00AC0AA3">
            <w:pPr>
              <w:widowControl w:val="0"/>
              <w:tabs>
                <w:tab w:val="left" w:pos="1080"/>
              </w:tabs>
              <w:spacing w:after="0" w:line="240" w:lineRule="auto"/>
              <w:ind w:left="9" w:hanging="9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D2B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0AA3" w:rsidRPr="004D2B97" w:rsidRDefault="00AC0AA3" w:rsidP="00AC0A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D2B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0AA3" w:rsidRPr="004D2B97" w:rsidRDefault="00AC0AA3" w:rsidP="00AC0A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D2B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0AA3" w:rsidRPr="004D2B97" w:rsidRDefault="00AC0AA3" w:rsidP="00AC0A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D2B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</w:t>
            </w:r>
          </w:p>
        </w:tc>
      </w:tr>
      <w:tr w:rsidR="00AC0AA3" w:rsidRPr="00D3108F" w:rsidTr="00C45E6F">
        <w:trPr>
          <w:trHeight w:val="373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0AA3" w:rsidRPr="00290E54" w:rsidRDefault="00AC0AA3" w:rsidP="00DF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C0AA3" w:rsidRPr="00290E54" w:rsidRDefault="00AC0AA3" w:rsidP="00DF30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90E5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Корупційні ризики,  можливі при здійсненні функцій органу прокуратури </w:t>
            </w:r>
          </w:p>
          <w:p w:rsidR="00AC0AA3" w:rsidRPr="00290E54" w:rsidRDefault="00AC0AA3" w:rsidP="00DF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B2E0C" w:rsidRPr="005939DD" w:rsidTr="00D3108F">
        <w:trPr>
          <w:trHeight w:val="4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6472E2" w:rsidRDefault="00DB2E0C" w:rsidP="007533C0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ind w:left="9" w:hanging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4A2A38" w:rsidRDefault="00994C2F" w:rsidP="00C6798E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94C2F">
              <w:rPr>
                <w:rFonts w:ascii="Times New Roman" w:hAnsi="Times New Roman"/>
                <w:sz w:val="20"/>
                <w:szCs w:val="20"/>
                <w:lang w:val="uk-UA"/>
              </w:rPr>
              <w:t>Неврегульованість механізму передачі кримінальних проваджень від одного слідчого органу (структурного підрозділу) до іншого у разі зміни підслідності.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4A2A38" w:rsidRDefault="005939DD" w:rsidP="00CA56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5939DD">
              <w:rPr>
                <w:rFonts w:ascii="Times New Roman" w:hAnsi="Times New Roman"/>
                <w:sz w:val="20"/>
                <w:szCs w:val="20"/>
                <w:lang w:val="uk-UA"/>
              </w:rPr>
              <w:t>Можливість зловживання прокурорами повноваженнями при зміні підслідності злочинів та передачі кримінальних проваджень від одного слідчого органу (структурного підрозділу)</w:t>
            </w:r>
            <w:r w:rsidR="00C679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</w:t>
            </w:r>
            <w:r w:rsidRPr="005939DD">
              <w:rPr>
                <w:rFonts w:ascii="Times New Roman" w:hAnsi="Times New Roman"/>
                <w:sz w:val="20"/>
                <w:szCs w:val="20"/>
                <w:lang w:val="uk-UA"/>
              </w:rPr>
              <w:t>іншо</w:t>
            </w:r>
            <w:r w:rsidR="00C6798E">
              <w:rPr>
                <w:rFonts w:ascii="Times New Roman" w:hAnsi="Times New Roman"/>
                <w:sz w:val="20"/>
                <w:szCs w:val="20"/>
                <w:lang w:val="uk-UA"/>
              </w:rPr>
              <w:t>го</w:t>
            </w:r>
            <w:r w:rsidRPr="005939D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5939DD" w:rsidRDefault="00FE2099" w:rsidP="00CA56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5939DD" w:rsidRPr="005939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організаційно-розпорядчому доку</w:t>
            </w:r>
            <w:r w:rsidR="005939D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5939DD" w:rsidRPr="005939DD">
              <w:rPr>
                <w:rFonts w:ascii="Times New Roman" w:hAnsi="Times New Roman"/>
                <w:sz w:val="20"/>
                <w:szCs w:val="20"/>
                <w:lang w:val="uk-UA"/>
              </w:rPr>
              <w:t>менті Генеральної прокуратури України (далі – ГПУ) не визначено механізму передачі кримінальних проваджень від одного слідчого орга</w:t>
            </w:r>
            <w:r w:rsidR="005939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ну (структурного підрозділу) </w:t>
            </w:r>
            <w:r w:rsidR="00C679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 </w:t>
            </w:r>
            <w:r w:rsidR="005939DD">
              <w:rPr>
                <w:rFonts w:ascii="Times New Roman" w:hAnsi="Times New Roman"/>
                <w:sz w:val="20"/>
                <w:szCs w:val="20"/>
                <w:lang w:val="uk-UA"/>
              </w:rPr>
              <w:t>ін</w:t>
            </w:r>
            <w:r w:rsidR="005939DD" w:rsidRPr="005939DD">
              <w:rPr>
                <w:rFonts w:ascii="Times New Roman" w:hAnsi="Times New Roman"/>
                <w:sz w:val="20"/>
                <w:szCs w:val="20"/>
                <w:lang w:val="uk-UA"/>
              </w:rPr>
              <w:t>шо</w:t>
            </w:r>
            <w:r w:rsidR="00C6798E">
              <w:rPr>
                <w:rFonts w:ascii="Times New Roman" w:hAnsi="Times New Roman"/>
                <w:sz w:val="20"/>
                <w:szCs w:val="20"/>
                <w:lang w:val="uk-UA"/>
              </w:rPr>
              <w:t>го</w:t>
            </w:r>
            <w:r w:rsidR="005939DD" w:rsidRPr="005939D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D" w:rsidRPr="005939DD" w:rsidRDefault="005939DD" w:rsidP="005939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39DD">
              <w:rPr>
                <w:rFonts w:ascii="Times New Roman" w:hAnsi="Times New Roman"/>
                <w:sz w:val="20"/>
                <w:szCs w:val="20"/>
                <w:lang w:val="uk-UA"/>
              </w:rPr>
              <w:t>Вчинення корупційн</w:t>
            </w:r>
            <w:r w:rsidR="00C6798E">
              <w:rPr>
                <w:rFonts w:ascii="Times New Roman" w:hAnsi="Times New Roman"/>
                <w:sz w:val="20"/>
                <w:szCs w:val="20"/>
                <w:lang w:val="uk-UA"/>
              </w:rPr>
              <w:t>их</w:t>
            </w:r>
            <w:r w:rsidRPr="005939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правопорушен</w:t>
            </w:r>
            <w:r w:rsidR="00C6798E"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 w:rsidRPr="005939D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5939DD" w:rsidRPr="005939DD" w:rsidRDefault="005939DD" w:rsidP="005939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39DD" w:rsidRPr="005939DD" w:rsidRDefault="00C6798E" w:rsidP="005939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Порушення прав людини</w:t>
            </w:r>
            <w:r w:rsidR="005939DD" w:rsidRPr="005939D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5939DD" w:rsidRPr="005939DD" w:rsidRDefault="005939DD" w:rsidP="005939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2E0C" w:rsidRPr="004A2A38" w:rsidRDefault="005939DD" w:rsidP="005939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5939DD">
              <w:rPr>
                <w:rFonts w:ascii="Times New Roman" w:hAnsi="Times New Roman"/>
                <w:sz w:val="20"/>
                <w:szCs w:val="20"/>
                <w:lang w:val="uk-UA"/>
              </w:rPr>
              <w:t>Втрата авторитету органу прокуратури України та репутаційні втрати держави.</w:t>
            </w:r>
          </w:p>
        </w:tc>
      </w:tr>
      <w:tr w:rsidR="00CC200A" w:rsidRPr="004A2A38" w:rsidTr="00D3108F">
        <w:trPr>
          <w:trHeight w:val="6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A" w:rsidRPr="004A2A38" w:rsidRDefault="00994C2F" w:rsidP="00CC200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C200A" w:rsidRPr="003079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A" w:rsidRPr="002B05F9" w:rsidRDefault="00994C2F" w:rsidP="00FE209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4C2F">
              <w:rPr>
                <w:rFonts w:ascii="Times New Roman" w:hAnsi="Times New Roman"/>
                <w:sz w:val="20"/>
                <w:szCs w:val="20"/>
                <w:lang w:val="uk-UA"/>
              </w:rPr>
              <w:t>Відсутність в організаційно-розпорядчих документах ГПУ критеріїв навантаження прокурорів, які здійснюють процесуальне керівництво у кримінальних провадженнях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A" w:rsidRPr="00307927" w:rsidRDefault="00CC200A" w:rsidP="00C943A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30792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Наявність прокурора, який здійснює процесуальне керівництво, значної кількості кримінальних проваджень, у яких він не може з об’єктивних причин, через навантаження проводити вчасно та якісно процесуальні дії, створює підґрунтя для активізації досудового </w:t>
            </w:r>
            <w:r w:rsidRPr="0030792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розслідування або його тяганини в окремому кримінальному провадженні, у якому є особиста зацікавленість.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A" w:rsidRPr="00307927" w:rsidRDefault="00CC200A" w:rsidP="00CC200A">
            <w:pPr>
              <w:pStyle w:val="a7"/>
              <w:numPr>
                <w:ilvl w:val="0"/>
                <w:numId w:val="12"/>
              </w:numPr>
              <w:spacing w:after="0"/>
              <w:ind w:left="34" w:firstLine="326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  <w:r w:rsidRPr="00307927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lastRenderedPageBreak/>
              <w:t>Невідповідність чисельності працівників прокуратури фактичному навантаженню на них.</w:t>
            </w:r>
          </w:p>
          <w:p w:rsidR="00CC200A" w:rsidRPr="00307927" w:rsidRDefault="00CC200A" w:rsidP="00CC200A">
            <w:pPr>
              <w:pStyle w:val="a7"/>
              <w:numPr>
                <w:ilvl w:val="0"/>
                <w:numId w:val="12"/>
              </w:numPr>
              <w:spacing w:after="0"/>
              <w:ind w:left="34" w:firstLine="326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  <w:r w:rsidRPr="00307927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Організаційно-розпорядчі документи ГПУ не містять визначених критеріїв  навантаження прокурорів.</w:t>
            </w:r>
          </w:p>
          <w:p w:rsidR="002B05F9" w:rsidRPr="00994C2F" w:rsidRDefault="002B05F9" w:rsidP="00994C2F">
            <w:pPr>
              <w:spacing w:after="0"/>
              <w:ind w:left="34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A" w:rsidRPr="00307927" w:rsidRDefault="00CC200A" w:rsidP="00CC20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79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Вчинення корупційного або пов’язаного з корупцією правопорушення. </w:t>
            </w:r>
          </w:p>
          <w:p w:rsidR="0033511E" w:rsidRDefault="0033511E" w:rsidP="00CC20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C200A" w:rsidRPr="00307927" w:rsidRDefault="0033511E" w:rsidP="00CC20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511E">
              <w:rPr>
                <w:rFonts w:ascii="Times New Roman" w:hAnsi="Times New Roman"/>
                <w:sz w:val="20"/>
                <w:szCs w:val="20"/>
                <w:lang w:val="uk-UA"/>
              </w:rPr>
              <w:t>Порушення прав людини.</w:t>
            </w:r>
          </w:p>
          <w:p w:rsidR="0033511E" w:rsidRDefault="0033511E" w:rsidP="00CC20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C200A" w:rsidRPr="00307927" w:rsidRDefault="00CC200A" w:rsidP="00CC20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79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Можливі фінансові втрати (незабезпечення заходів щодо </w:t>
            </w:r>
            <w:r w:rsidRPr="0030792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відшкодування збитків, завданих злочином). </w:t>
            </w:r>
          </w:p>
          <w:p w:rsidR="00CC200A" w:rsidRPr="00307927" w:rsidRDefault="00CC200A" w:rsidP="00CC20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7927">
              <w:rPr>
                <w:rFonts w:ascii="Times New Roman" w:hAnsi="Times New Roman"/>
                <w:sz w:val="20"/>
                <w:szCs w:val="20"/>
                <w:lang w:val="uk-UA"/>
              </w:rPr>
              <w:t>Втрата авторитету органу прокуратури України та репутаційні втрати держави.</w:t>
            </w:r>
          </w:p>
        </w:tc>
      </w:tr>
      <w:tr w:rsidR="00CC200A" w:rsidRPr="004A2A38" w:rsidTr="00D3108F">
        <w:trPr>
          <w:trHeight w:val="8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A" w:rsidRPr="004A2A38" w:rsidRDefault="00994C2F" w:rsidP="00CC200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="00CC200A" w:rsidRPr="00C310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A" w:rsidRPr="00CC200A" w:rsidRDefault="00994C2F" w:rsidP="00772DB7">
            <w:pPr>
              <w:jc w:val="both"/>
              <w:rPr>
                <w:lang w:val="uk-UA"/>
              </w:rPr>
            </w:pPr>
            <w:r w:rsidRPr="00994C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Відсутність можливості оскарження </w:t>
            </w:r>
            <w:proofErr w:type="spellStart"/>
            <w:r w:rsidRPr="00994C2F">
              <w:rPr>
                <w:rFonts w:ascii="Times New Roman" w:hAnsi="Times New Roman"/>
                <w:sz w:val="20"/>
                <w:szCs w:val="20"/>
                <w:lang w:val="uk-UA"/>
              </w:rPr>
              <w:t>вироку</w:t>
            </w:r>
            <w:proofErr w:type="spellEnd"/>
            <w:r w:rsidRPr="00994C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суду про затвердження угоди про визнання винуватості та  недостатня урегульованість в організаційно-розпорядчих документах ГПУ механізму здійснення контролю за прийняттям рішень щодо укладення угоди про визнання винуватості.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A" w:rsidRPr="004A2A38" w:rsidRDefault="0085254A" w:rsidP="00CA568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М</w:t>
            </w:r>
            <w:r w:rsidR="00CC200A" w:rsidRPr="00C310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ожливі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сть</w:t>
            </w:r>
            <w:r w:rsidR="00CC200A" w:rsidRPr="00C310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зловживання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повноваженнями </w:t>
            </w:r>
            <w:r w:rsidR="00CC200A" w:rsidRPr="00C310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при укладенні угод про визнання винуватості</w:t>
            </w:r>
            <w:r w:rsidR="000C478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A" w:rsidRPr="00C52473" w:rsidRDefault="00CC200A" w:rsidP="00CC200A">
            <w:pPr>
              <w:pStyle w:val="a7"/>
              <w:numPr>
                <w:ilvl w:val="0"/>
                <w:numId w:val="13"/>
              </w:numPr>
              <w:ind w:left="34" w:firstLine="326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  <w:r w:rsidRPr="00C52473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Відсутність у КПК України можливості оскарження </w:t>
            </w:r>
            <w:proofErr w:type="spellStart"/>
            <w:r w:rsidRPr="00C52473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вироку</w:t>
            </w:r>
            <w:proofErr w:type="spellEnd"/>
            <w:r w:rsidRPr="00C52473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 суду, </w:t>
            </w:r>
            <w:r w:rsidR="008B0BBF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я</w:t>
            </w:r>
            <w:r w:rsidRPr="00C52473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ким затверджено угоди про визнання винуватості.</w:t>
            </w:r>
          </w:p>
          <w:p w:rsidR="00CC200A" w:rsidRPr="00C52473" w:rsidRDefault="00CC200A" w:rsidP="00CA568D">
            <w:pPr>
              <w:pStyle w:val="a7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  <w:r w:rsidRPr="00C52473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Недостатнє врегулювання</w:t>
            </w:r>
            <w:r w:rsidR="008B0BBF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 в організаційно-розпорядчих до</w:t>
            </w:r>
            <w:r w:rsidRPr="00C52473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кументах ГПУ механізму здійснення контролю за прийняттям рішень щодо укладення угоди про визнання винуватості.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A" w:rsidRPr="00C52473" w:rsidRDefault="00CC200A" w:rsidP="00CC20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24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Вчинення корупційного або пов’язаного з корупцією правопорушення. </w:t>
            </w:r>
          </w:p>
          <w:p w:rsidR="00CC200A" w:rsidRDefault="00CC200A" w:rsidP="00CC20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A27CB" w:rsidRPr="00307927" w:rsidRDefault="00AA27CB" w:rsidP="00AA27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511E">
              <w:rPr>
                <w:rFonts w:ascii="Times New Roman" w:hAnsi="Times New Roman"/>
                <w:sz w:val="20"/>
                <w:szCs w:val="20"/>
                <w:lang w:val="uk-UA"/>
              </w:rPr>
              <w:t>Порушення прав людини.</w:t>
            </w:r>
          </w:p>
          <w:p w:rsidR="00AA27CB" w:rsidRDefault="00AA27CB" w:rsidP="00CC20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C200A" w:rsidRPr="00C52473" w:rsidRDefault="00CC200A" w:rsidP="00CC20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24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Можливі фінансові витрати на відшкодування завданої шкоди. </w:t>
            </w:r>
          </w:p>
          <w:p w:rsidR="00CC200A" w:rsidRPr="00C52473" w:rsidRDefault="00CC200A" w:rsidP="00CC20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C200A" w:rsidRPr="00C52473" w:rsidRDefault="00CC200A" w:rsidP="00CC20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2473">
              <w:rPr>
                <w:rFonts w:ascii="Times New Roman" w:hAnsi="Times New Roman"/>
                <w:sz w:val="20"/>
                <w:szCs w:val="20"/>
                <w:lang w:val="uk-UA"/>
              </w:rPr>
              <w:t>Втрата авторитету органу прокуратури України та репутаційні втрати держави.</w:t>
            </w:r>
          </w:p>
        </w:tc>
      </w:tr>
      <w:tr w:rsidR="00DB2E0C" w:rsidRPr="00837D5B" w:rsidTr="00D3108F">
        <w:trPr>
          <w:trHeight w:val="1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837D5B" w:rsidRDefault="00994C2F" w:rsidP="00AC0AA3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DB2E0C" w:rsidRPr="00837D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837D5B" w:rsidRDefault="00994C2F" w:rsidP="00EB6746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4C2F">
              <w:rPr>
                <w:rFonts w:ascii="Times New Roman" w:hAnsi="Times New Roman"/>
                <w:sz w:val="20"/>
                <w:szCs w:val="20"/>
                <w:lang w:val="uk-UA"/>
              </w:rPr>
              <w:t>Недостатнє врегулювання в організаційно-розпорядчих документах ГПУ механізму здійснення контролю за реалізацією прокурорами повноважень щодо відмови від апеляційних та касаційних скарг, зміни або відмови від обвинувачення</w:t>
            </w:r>
            <w:r w:rsidR="002427C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Default="00DB2E0C" w:rsidP="005F5F1A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837D5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Можливість із власної зацікавленості </w:t>
            </w:r>
            <w:r w:rsidR="005F5F1A" w:rsidRPr="00837D5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відмови</w:t>
            </w:r>
            <w:r w:rsidRPr="00837D5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прокурором </w:t>
            </w:r>
            <w:r w:rsidR="005F5F1A" w:rsidRPr="00837D5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від </w:t>
            </w:r>
            <w:r w:rsidRPr="00837D5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апеляційної скарги поза межами строку апеляційного оскарження, що позбавить службових осіб органів прокуратури вищого рівня права на апеляційне, касаційне оскарження. Необґрунтована</w:t>
            </w:r>
            <w:r w:rsidR="005F5F1A" w:rsidRPr="00837D5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відмова від касаційної скарги,</w:t>
            </w:r>
            <w:r w:rsidRPr="00837D5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зміна обсягу обвинувачення в бік пом’якшення не дає можливості в подальшому виправити судову помилку.</w:t>
            </w:r>
          </w:p>
          <w:p w:rsidR="00B43865" w:rsidRPr="00837D5B" w:rsidRDefault="00B43865" w:rsidP="005F5F1A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6B2CDD" w:rsidRDefault="005F5F1A" w:rsidP="00CA568D">
            <w:pPr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  <w:r w:rsidRPr="006B2CDD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Недостатнє врегулювання в організаційно-розпорядчих документах ГПУ механізму здійснення контролю за реаліза</w:t>
            </w:r>
            <w:r w:rsidR="0058548F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цією прокурорами повноважень що</w:t>
            </w:r>
            <w:r w:rsidRPr="006B2CDD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до відмови від апеляційних та кас</w:t>
            </w:r>
            <w:r w:rsidR="00FE2099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аційних скарг, зміни</w:t>
            </w:r>
            <w:r w:rsidR="00EB6746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 або відмови</w:t>
            </w:r>
            <w:r w:rsidRPr="006B2CDD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 від обвинувачення</w:t>
            </w:r>
            <w:r w:rsidR="0058548F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837D5B" w:rsidRDefault="00DB2E0C" w:rsidP="007533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7D5B">
              <w:rPr>
                <w:rFonts w:ascii="Times New Roman" w:hAnsi="Times New Roman"/>
                <w:sz w:val="20"/>
                <w:szCs w:val="20"/>
                <w:lang w:val="uk-UA"/>
              </w:rPr>
              <w:t>Вчинення корупційного або пов’язаного з корупцією правопорушення.</w:t>
            </w:r>
          </w:p>
          <w:p w:rsidR="00DB2E0C" w:rsidRPr="00837D5B" w:rsidRDefault="00DB2E0C" w:rsidP="007533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2E0C" w:rsidRPr="00837D5B" w:rsidRDefault="00DB2E0C" w:rsidP="007533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7D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Порушення прав </w:t>
            </w:r>
            <w:r w:rsidR="00F56E1B">
              <w:rPr>
                <w:rFonts w:ascii="Times New Roman" w:hAnsi="Times New Roman"/>
                <w:sz w:val="20"/>
                <w:szCs w:val="20"/>
                <w:lang w:val="uk-UA"/>
              </w:rPr>
              <w:t>людини</w:t>
            </w:r>
            <w:r w:rsidRPr="00837D5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B2E0C" w:rsidRPr="00837D5B" w:rsidRDefault="00DB2E0C" w:rsidP="007533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2E0C" w:rsidRPr="00837D5B" w:rsidRDefault="00DB2E0C" w:rsidP="007533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7D5B">
              <w:rPr>
                <w:rFonts w:ascii="Times New Roman" w:hAnsi="Times New Roman"/>
                <w:sz w:val="20"/>
                <w:szCs w:val="20"/>
                <w:lang w:val="uk-UA"/>
              </w:rPr>
              <w:t>Втрата авторитету органу прокуратури України та репутаційні втрати держави.</w:t>
            </w:r>
          </w:p>
        </w:tc>
      </w:tr>
      <w:tr w:rsidR="006744BD" w:rsidRPr="00837D5B" w:rsidTr="007248AD">
        <w:trPr>
          <w:trHeight w:val="5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D" w:rsidRPr="00837D5B" w:rsidRDefault="006744BD" w:rsidP="006744B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837D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D" w:rsidRPr="006744BD" w:rsidRDefault="006744BD" w:rsidP="006744BD">
            <w:pPr>
              <w:widowControl w:val="0"/>
              <w:tabs>
                <w:tab w:val="left" w:pos="1080"/>
              </w:tabs>
              <w:spacing w:after="0" w:line="22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44BD">
              <w:rPr>
                <w:rFonts w:ascii="Times New Roman" w:hAnsi="Times New Roman"/>
                <w:sz w:val="20"/>
                <w:szCs w:val="20"/>
                <w:lang w:val="uk-UA"/>
              </w:rPr>
              <w:t>Недостатня урегульованість процедури повернення майна і документів (речових доказів) особі (володільцю), у якої їх вилучено у ході досудового розслідування.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D" w:rsidRPr="00112945" w:rsidRDefault="007248AD" w:rsidP="007248AD">
            <w:pPr>
              <w:spacing w:after="0"/>
              <w:ind w:left="54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7248A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Можливість зловживання слідчими та прокурорами повноваженнями під час повернення на підставі судового </w:t>
            </w:r>
            <w:proofErr w:type="spellStart"/>
            <w:r w:rsidRPr="007248A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вироку</w:t>
            </w:r>
            <w:proofErr w:type="spellEnd"/>
            <w:r w:rsidRPr="007248A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майна та документів, вилучених під час досудового розслідування, що може призвести як до безпідставного повернення майна, так і до </w:t>
            </w:r>
            <w:r w:rsidRPr="007248A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необґрунтованої відмови у його поверненні.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D" w:rsidRPr="006B2CDD" w:rsidRDefault="006744BD" w:rsidP="00CA568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  <w:r w:rsidRPr="006B2CDD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lastRenderedPageBreak/>
              <w:t xml:space="preserve">Недостатнє врегулювання в організаційно-розпорядчих документах ГПУ механізму </w:t>
            </w:r>
            <w:r w:rsidRPr="006744BD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врегулювати процедуру повернення майна і документів (речових доказів)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D" w:rsidRPr="008C51FA" w:rsidRDefault="006744BD" w:rsidP="006744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1FA">
              <w:rPr>
                <w:rFonts w:ascii="Times New Roman" w:hAnsi="Times New Roman"/>
                <w:sz w:val="20"/>
                <w:szCs w:val="20"/>
                <w:lang w:val="uk-UA"/>
              </w:rPr>
              <w:t>Вчинення корупційного чи пов’язаного з корупцією правопорушення.</w:t>
            </w:r>
          </w:p>
          <w:p w:rsidR="006744BD" w:rsidRPr="008C51FA" w:rsidRDefault="006744BD" w:rsidP="006744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44BD" w:rsidRPr="008C51FA" w:rsidRDefault="006744BD" w:rsidP="006744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1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Порушення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 та </w:t>
            </w:r>
            <w:r w:rsidRPr="008C51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інтересів держави. </w:t>
            </w:r>
          </w:p>
          <w:p w:rsidR="006744BD" w:rsidRPr="00837D5B" w:rsidRDefault="006744BD" w:rsidP="006744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1FA">
              <w:rPr>
                <w:rFonts w:ascii="Times New Roman" w:hAnsi="Times New Roman"/>
                <w:sz w:val="20"/>
                <w:szCs w:val="20"/>
                <w:lang w:val="uk-UA"/>
              </w:rPr>
              <w:t>Втрата авторитету органу прокуратури України та репутаційні втрати держави.</w:t>
            </w:r>
          </w:p>
        </w:tc>
      </w:tr>
      <w:tr w:rsidR="006744BD" w:rsidRPr="00837D5B" w:rsidTr="00D3108F">
        <w:trPr>
          <w:trHeight w:val="126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D" w:rsidRDefault="006744BD" w:rsidP="006744B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D" w:rsidRPr="006744BD" w:rsidRDefault="006744BD" w:rsidP="006744BD">
            <w:pPr>
              <w:widowControl w:val="0"/>
              <w:tabs>
                <w:tab w:val="left" w:pos="1080"/>
              </w:tabs>
              <w:spacing w:after="0" w:line="22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44BD">
              <w:rPr>
                <w:rFonts w:ascii="Times New Roman" w:hAnsi="Times New Roman"/>
                <w:sz w:val="20"/>
                <w:szCs w:val="20"/>
                <w:lang w:val="uk-UA"/>
              </w:rPr>
              <w:t>Недосконалість механізму здійснення контролю за прийняттям рішень щодо зміни підозри на стадії досудового розслідування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D" w:rsidRPr="00C06F54" w:rsidRDefault="007248AD" w:rsidP="00C943A6">
            <w:pPr>
              <w:pStyle w:val="a7"/>
              <w:spacing w:after="0"/>
              <w:ind w:left="54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7248A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Можливість зловживання прокурорами повноваженнями під час змін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и</w:t>
            </w:r>
            <w:r w:rsidRPr="007248A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підозр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и</w:t>
            </w:r>
            <w:r w:rsidRPr="007248A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особі на менш тяжкий злочин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D" w:rsidRPr="006B2CDD" w:rsidRDefault="006744BD" w:rsidP="00CA568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  <w:r w:rsidRPr="006B2CDD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Недостатнє врегулювання в організаційно-розпорядчих документах ГПУ механізму </w:t>
            </w:r>
            <w:r w:rsidRPr="006744BD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здійснення контролю за прийняттям рішень щодо зміни підозри на стадії досудового розслідування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D" w:rsidRPr="008C51FA" w:rsidRDefault="006744BD" w:rsidP="006744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1FA">
              <w:rPr>
                <w:rFonts w:ascii="Times New Roman" w:hAnsi="Times New Roman"/>
                <w:sz w:val="20"/>
                <w:szCs w:val="20"/>
                <w:lang w:val="uk-UA"/>
              </w:rPr>
              <w:t>Вчинення корупційного чи пов’язаного з корупцією правопорушення.</w:t>
            </w:r>
          </w:p>
          <w:p w:rsidR="006744BD" w:rsidRPr="008C51FA" w:rsidRDefault="006744BD" w:rsidP="006744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44BD" w:rsidRPr="008C51FA" w:rsidRDefault="006744BD" w:rsidP="006744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1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Порушення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 та </w:t>
            </w:r>
            <w:r w:rsidRPr="008C51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інтересів держави. </w:t>
            </w:r>
          </w:p>
          <w:p w:rsidR="006744BD" w:rsidRPr="008C51FA" w:rsidRDefault="006744BD" w:rsidP="006744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1FA">
              <w:rPr>
                <w:rFonts w:ascii="Times New Roman" w:hAnsi="Times New Roman"/>
                <w:sz w:val="20"/>
                <w:szCs w:val="20"/>
                <w:lang w:val="uk-UA"/>
              </w:rPr>
              <w:t>Втрата авторитету органу прокуратури України та репутаційні втрати держави.</w:t>
            </w:r>
          </w:p>
        </w:tc>
      </w:tr>
      <w:tr w:rsidR="00AC0AA3" w:rsidRPr="004A2A38" w:rsidTr="00F332B3">
        <w:trPr>
          <w:trHeight w:val="40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0AA3" w:rsidRPr="002E6C1E" w:rsidRDefault="00AC0AA3" w:rsidP="006135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AC0AA3" w:rsidRPr="002E6C1E" w:rsidRDefault="00AC0AA3" w:rsidP="006135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E6C1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Корупційні ризики,  можливі при </w:t>
            </w:r>
            <w:r w:rsidR="000134C7" w:rsidRPr="002E6C1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врегулюванні діяльності органів прокуратури</w:t>
            </w:r>
          </w:p>
          <w:p w:rsidR="00AC0AA3" w:rsidRPr="004A2A38" w:rsidRDefault="00AC0AA3" w:rsidP="0061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DB2E0C" w:rsidRPr="004A2A38" w:rsidTr="00D3108F">
        <w:trPr>
          <w:trHeight w:val="2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807651" w:rsidRDefault="006744BD" w:rsidP="00AC0AA3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807651" w:rsidRPr="008076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4A2A38" w:rsidRDefault="006744BD" w:rsidP="00836109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6744B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Недостатня урегульованість в організаційно-розпорядчих документах ГПУ порядку виконання повноважень прокурорами підрозділів нагляду  за додержанням законів у кримінальному провадженні в ГПУ та регіональних прокуратурах.</w:t>
            </w:r>
            <w:r w:rsidR="0083610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3" w:rsidRPr="002E6C1E" w:rsidRDefault="002E6C1E" w:rsidP="00CA568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E6C1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Можливість вчинення порушень вимог закону та обмеження самостійності прокурора через недостатню </w:t>
            </w:r>
            <w:proofErr w:type="spellStart"/>
            <w:r w:rsidRPr="002E6C1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врегульованість</w:t>
            </w:r>
            <w:proofErr w:type="spellEnd"/>
            <w:r w:rsidRPr="002E6C1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в організаційно-розпорядчих документах ГПУ порядку виконання повноважень прокуро</w:t>
            </w:r>
            <w:r w:rsidR="0027434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рами підрозділів нагляду  за до</w:t>
            </w:r>
            <w:r w:rsidRPr="002E6C1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держанням законів у кримінальному провадженні в ГПУ та регіональних прокуратурах</w:t>
            </w:r>
            <w:r w:rsidR="0016588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E" w:rsidRPr="002E6C1E" w:rsidRDefault="00FE2099" w:rsidP="00794030">
            <w:pPr>
              <w:pStyle w:val="a7"/>
              <w:numPr>
                <w:ilvl w:val="0"/>
                <w:numId w:val="21"/>
              </w:numPr>
              <w:spacing w:after="0"/>
              <w:ind w:left="-77" w:firstLine="562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У нормативно-правових актах та </w:t>
            </w:r>
            <w:r w:rsidR="002E6C1E" w:rsidRPr="002E6C1E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організаційно-розпорядчих документах не визначені повноваження прокурора з організації і процесуального керівництва досудовим розслідуванням.</w:t>
            </w:r>
          </w:p>
          <w:p w:rsidR="00794030" w:rsidRPr="007A197A" w:rsidRDefault="002E6C1E" w:rsidP="00FE2099">
            <w:pPr>
              <w:pStyle w:val="a7"/>
              <w:numPr>
                <w:ilvl w:val="0"/>
                <w:numId w:val="21"/>
              </w:numPr>
              <w:spacing w:after="0"/>
              <w:ind w:left="-77" w:firstLine="56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C1E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Тривалий час на розгляді Верховної Ради України перебуває проект Закону, який визначає порядок </w:t>
            </w:r>
            <w:r w:rsidR="0016588D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реалізації органами прокуратури</w:t>
            </w:r>
            <w:r w:rsidRPr="002E6C1E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 передбаченої статтею 131</w:t>
            </w:r>
            <w:r w:rsidRPr="002E6C1E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  <w:lang w:val="uk-UA"/>
              </w:rPr>
              <w:t>1</w:t>
            </w:r>
            <w:r w:rsidR="0016588D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 Конституції України</w:t>
            </w:r>
            <w:r w:rsidRPr="002E6C1E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 функції організації і процесуального керівництва досудовим розслідуванням, вирішення відповідно до закону інших питань під час кримінального провадження.</w:t>
            </w:r>
          </w:p>
          <w:p w:rsidR="007A197A" w:rsidRPr="002E6C1E" w:rsidRDefault="007A197A" w:rsidP="007A197A">
            <w:pPr>
              <w:pStyle w:val="a7"/>
              <w:spacing w:after="0"/>
              <w:ind w:left="-7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2E6C1E" w:rsidRDefault="00DB2E0C" w:rsidP="007533C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C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Вчинення корупційного правопорушення чи правопорушення, пов’язаного з корупцією. </w:t>
            </w:r>
          </w:p>
          <w:p w:rsidR="00DB2E0C" w:rsidRPr="004A2A38" w:rsidRDefault="00DB2E0C" w:rsidP="007533C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E6C1E">
              <w:rPr>
                <w:rFonts w:ascii="Times New Roman" w:hAnsi="Times New Roman"/>
                <w:sz w:val="20"/>
                <w:szCs w:val="20"/>
                <w:lang w:val="uk-UA"/>
              </w:rPr>
              <w:t>Втрата авторитету органу прокуратури України та репутаційні втрати держави</w:t>
            </w:r>
            <w:r w:rsidR="0016588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DB389E" w:rsidRPr="007D0132" w:rsidTr="00D3108F">
        <w:trPr>
          <w:trHeight w:val="4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9E" w:rsidRPr="004A2A38" w:rsidRDefault="00DB389E" w:rsidP="00DB389E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8076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9E" w:rsidRPr="00AF208A" w:rsidRDefault="00DB389E" w:rsidP="00DB38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38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Недостатня урегульованість повноважень прокурора при реалізації повноважень як спеціально уповноваженого суб’єкта у сфері протидії корупції поза межами кримінального провадження, </w:t>
            </w:r>
            <w:r w:rsidRPr="00DB389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що може спричинити зловживання у цій сфері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9E" w:rsidRPr="008A47B5" w:rsidRDefault="00DB389E" w:rsidP="00CA568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Можливість зловживання повноваженнями прокурора при виконанні повноважень як спеці</w:t>
            </w:r>
            <w:r w:rsidRPr="008A47B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ально уповноваженого суб’єкта у сфері протидії корупції поза межами кримінального провадження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9E" w:rsidRPr="008A47B5" w:rsidRDefault="00DB389E" w:rsidP="00CA56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В</w:t>
            </w:r>
            <w:r w:rsidRPr="008A47B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ідсутність у нормативно-правових актах врегулювання реалізації повноважень прокурора</w:t>
            </w:r>
            <w:r w:rsidRPr="00B43865">
              <w:rPr>
                <w:lang w:val="uk-UA"/>
              </w:rPr>
              <w:t xml:space="preserve"> </w:t>
            </w:r>
            <w:r w:rsidRPr="00B4386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як спеціально уповноваженого суб’єкта у сфері протидії корупції поза межами кримінального провадження</w:t>
            </w:r>
            <w:r w:rsidRPr="008A47B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у тому числі </w:t>
            </w:r>
            <w:r w:rsidRPr="008A47B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під час участі в судах при </w:t>
            </w:r>
            <w:r w:rsidRPr="008A47B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розгляді справ про адміністративні правопорушення, пов’язані з корупцією.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9E" w:rsidRPr="00A65225" w:rsidRDefault="00DB389E" w:rsidP="00DB38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2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Вчинення корупційного або пов’язаного з корупцією правопорушення.</w:t>
            </w:r>
          </w:p>
          <w:p w:rsidR="00DB389E" w:rsidRPr="00A65225" w:rsidRDefault="00DB389E" w:rsidP="00DB38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389E" w:rsidRPr="00A65225" w:rsidRDefault="00DB389E" w:rsidP="00DB38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2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Порушення прав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людини</w:t>
            </w:r>
            <w:r w:rsidRPr="00A6522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B389E" w:rsidRPr="00A65225" w:rsidRDefault="00DB389E" w:rsidP="00DB38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B389E" w:rsidRPr="00AF208A" w:rsidRDefault="00DB389E" w:rsidP="00DB38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225">
              <w:rPr>
                <w:rFonts w:ascii="Times New Roman" w:hAnsi="Times New Roman"/>
                <w:sz w:val="20"/>
                <w:szCs w:val="20"/>
                <w:lang w:val="uk-UA"/>
              </w:rPr>
              <w:t>Втрата авторитету органу прокуратури України та репутаційні втрати держави</w:t>
            </w:r>
          </w:p>
        </w:tc>
      </w:tr>
      <w:tr w:rsidR="00DB2E0C" w:rsidRPr="007D0132" w:rsidTr="00D3108F">
        <w:trPr>
          <w:trHeight w:val="4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4A2A38" w:rsidRDefault="00DB389E" w:rsidP="00AC0AA3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9</w:t>
            </w:r>
            <w:r w:rsidR="00807651" w:rsidRPr="008076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A3" w:rsidRDefault="00DB389E" w:rsidP="008429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389E">
              <w:rPr>
                <w:rFonts w:ascii="Times New Roman" w:hAnsi="Times New Roman"/>
                <w:sz w:val="20"/>
                <w:szCs w:val="20"/>
                <w:lang w:val="uk-UA"/>
              </w:rPr>
              <w:t>Відсутність в організаційно-розпорядчих документах ГПУ чіткого розмежування повноважень прокурорів, які здійснюють  нагляд за додержанням законів під час проведення досудового розслідування і підтримання обвинувачення в судах в частині вивчення законності судових рішень у кримінальних провадженнях</w:t>
            </w:r>
            <w:r w:rsidR="007D013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7A197A" w:rsidRPr="004A2A38" w:rsidRDefault="007A197A" w:rsidP="008429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4A2A38" w:rsidRDefault="007D0132" w:rsidP="00CA568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Можливість порушення </w:t>
            </w:r>
            <w:r w:rsidR="008F0D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вимог</w:t>
            </w:r>
            <w:r w:rsidR="0016588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                      </w:t>
            </w:r>
            <w:r w:rsidR="008F0D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КПК України і прав громадян із власної зацікавленості через відсутність </w:t>
            </w:r>
            <w:r w:rsidR="008F0DD9" w:rsidRPr="008F0D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чіткого розмежування повноважень прокурорів, які здійснюють  нагляд за додержанням законів під час проведення досудового розслідування і підтримання обвинувачення в судах в частині вивчення законності судових рішень у кримінальних провадженнях.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0" w:rsidRPr="004A2A38" w:rsidRDefault="008F0DD9" w:rsidP="00CA56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8F0D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Дублювання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повноважень прокурорами підрозділів, </w:t>
            </w:r>
            <w:r w:rsidRPr="008F0DD9">
              <w:rPr>
                <w:rFonts w:ascii="Times New Roman" w:hAnsi="Times New Roman"/>
                <w:sz w:val="20"/>
                <w:szCs w:val="20"/>
                <w:lang w:val="uk-UA"/>
              </w:rPr>
              <w:t>які здійснюють  нагляд за додержанням законів під час проведення досудового розслідування і підтримання обвинувачення в судах</w:t>
            </w:r>
            <w:r w:rsidR="00B72F1E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8F0D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72F1E">
              <w:rPr>
                <w:rFonts w:ascii="Times New Roman" w:hAnsi="Times New Roman"/>
                <w:sz w:val="20"/>
                <w:szCs w:val="20"/>
                <w:lang w:val="uk-UA"/>
              </w:rPr>
              <w:t>з метою забезпечення права на реагування прокурорами вищого рівня згідно</w:t>
            </w:r>
            <w:r w:rsidR="001658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</w:t>
            </w:r>
            <w:r w:rsidR="00B72F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частин</w:t>
            </w:r>
            <w:r w:rsidR="0016588D">
              <w:rPr>
                <w:rFonts w:ascii="Times New Roman" w:hAnsi="Times New Roman"/>
                <w:sz w:val="20"/>
                <w:szCs w:val="20"/>
                <w:lang w:val="uk-UA"/>
              </w:rPr>
              <w:t>ою</w:t>
            </w:r>
            <w:r w:rsidR="00B72F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 статті 36 КПК України незалежно від участі</w:t>
            </w:r>
            <w:r w:rsidRPr="008F0DD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9" w:rsidRPr="008F0DD9" w:rsidRDefault="008F0DD9" w:rsidP="008F0DD9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0D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Вчинення корупційного правопорушення чи правопорушення, пов’язаного з корупцією. </w:t>
            </w:r>
          </w:p>
          <w:p w:rsidR="00DB2E0C" w:rsidRPr="004A2A38" w:rsidRDefault="008F0DD9" w:rsidP="008F0DD9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8F0DD9">
              <w:rPr>
                <w:rFonts w:ascii="Times New Roman" w:hAnsi="Times New Roman"/>
                <w:sz w:val="20"/>
                <w:szCs w:val="20"/>
                <w:lang w:val="uk-UA"/>
              </w:rPr>
              <w:t>Втрата авторитету органу прокуратури України та репутаційні втрати держави</w:t>
            </w:r>
            <w:r w:rsidR="0016588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5F5F1A" w:rsidRPr="00602E68" w:rsidTr="00D3108F">
        <w:trPr>
          <w:trHeight w:val="4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A" w:rsidRPr="004A2A38" w:rsidRDefault="00DB389E" w:rsidP="00AC0AA3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807651" w:rsidRPr="008076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A" w:rsidRPr="007D0132" w:rsidRDefault="00DB389E" w:rsidP="005F5F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38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Недостатня урегульованість в організаційно-розпорядчих документах ГПУ повноважень прокурора під час участі в суді при вирішенні питань, пов’язаних з виконанням </w:t>
            </w:r>
            <w:proofErr w:type="spellStart"/>
            <w:r w:rsidRPr="00DB389E">
              <w:rPr>
                <w:rFonts w:ascii="Times New Roman" w:hAnsi="Times New Roman"/>
                <w:sz w:val="20"/>
                <w:szCs w:val="20"/>
                <w:lang w:val="uk-UA"/>
              </w:rPr>
              <w:t>вироку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0C" w:rsidRDefault="00BB68A3" w:rsidP="00913E9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Можливість зловживання повноваженнями </w:t>
            </w:r>
            <w:r w:rsidR="00602E68" w:rsidRPr="00602E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прокурора при вирішенні питань, пов’язаних з виконанням </w:t>
            </w:r>
            <w:proofErr w:type="spellStart"/>
            <w:r w:rsidR="00602E68" w:rsidRPr="00602E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вироку</w:t>
            </w:r>
            <w:proofErr w:type="spellEnd"/>
            <w:r w:rsidR="00602E68" w:rsidRPr="00602E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, у тому числі умовно-дострокового звільнення від відбування покарання, заміною невідбутої частини покарання більш м’яким, звільненням від покарання, а також при здійсненні організації цієї діяльності і контролю за нею з боку прокуратури вищого рівня створює передумови для вчинення працівниками прокуратури корупційних або пов’язаних з корупцією правопорушень.</w:t>
            </w:r>
          </w:p>
          <w:p w:rsidR="00767F3D" w:rsidRDefault="00767F3D" w:rsidP="00913E9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A" w:rsidRPr="008F0DD9" w:rsidRDefault="00602E68" w:rsidP="001B56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E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Дублювання </w:t>
            </w:r>
            <w:r w:rsidR="001B56EC">
              <w:rPr>
                <w:rFonts w:ascii="Times New Roman" w:hAnsi="Times New Roman"/>
                <w:sz w:val="20"/>
                <w:szCs w:val="20"/>
                <w:lang w:val="uk-UA"/>
              </w:rPr>
              <w:t>прокуро</w:t>
            </w:r>
            <w:r w:rsidRPr="00602E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рами </w:t>
            </w:r>
            <w:r w:rsidR="001B56EC" w:rsidRPr="001B56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різних структурних підрозділів ГПУ та  регіональних прокуратур </w:t>
            </w:r>
            <w:r w:rsidR="001B56EC" w:rsidRPr="00602E68">
              <w:rPr>
                <w:rFonts w:ascii="Times New Roman" w:hAnsi="Times New Roman"/>
                <w:sz w:val="20"/>
                <w:szCs w:val="20"/>
                <w:lang w:val="uk-UA"/>
              </w:rPr>
              <w:t>повноважень</w:t>
            </w:r>
            <w:r w:rsidR="001B56EC" w:rsidRPr="001B56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щодо участі при вирішенні питань, пов’язаних з виконанням </w:t>
            </w:r>
            <w:proofErr w:type="spellStart"/>
            <w:r w:rsidR="001B56EC" w:rsidRPr="001B56EC">
              <w:rPr>
                <w:rFonts w:ascii="Times New Roman" w:hAnsi="Times New Roman"/>
                <w:sz w:val="20"/>
                <w:szCs w:val="20"/>
                <w:lang w:val="uk-UA"/>
              </w:rPr>
              <w:t>вироку</w:t>
            </w:r>
            <w:proofErr w:type="spellEnd"/>
            <w:r w:rsidR="001B56E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68" w:rsidRPr="00602E68" w:rsidRDefault="00602E68" w:rsidP="00602E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E68">
              <w:rPr>
                <w:rFonts w:ascii="Times New Roman" w:hAnsi="Times New Roman"/>
                <w:sz w:val="20"/>
                <w:szCs w:val="20"/>
                <w:lang w:val="uk-UA"/>
              </w:rPr>
              <w:t>Вчинення корупційного або пов’язаного з корупцією правопорушення.</w:t>
            </w:r>
          </w:p>
          <w:p w:rsidR="00602E68" w:rsidRPr="00602E68" w:rsidRDefault="00602E68" w:rsidP="00602E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02E68" w:rsidRPr="00602E68" w:rsidRDefault="00602E68" w:rsidP="00602E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E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Порушення прав </w:t>
            </w:r>
            <w:r w:rsidR="00E07886">
              <w:rPr>
                <w:rFonts w:ascii="Times New Roman" w:hAnsi="Times New Roman"/>
                <w:sz w:val="20"/>
                <w:szCs w:val="20"/>
                <w:lang w:val="uk-UA"/>
              </w:rPr>
              <w:t>людини</w:t>
            </w:r>
            <w:r w:rsidRPr="00602E6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5F5F1A" w:rsidRPr="008F0DD9" w:rsidRDefault="00602E68" w:rsidP="00602E68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E68">
              <w:rPr>
                <w:rFonts w:ascii="Times New Roman" w:hAnsi="Times New Roman"/>
                <w:sz w:val="20"/>
                <w:szCs w:val="20"/>
                <w:lang w:val="uk-UA"/>
              </w:rPr>
              <w:t>Втрата авторитету органу прокуратури України та репутаційні втрати держави</w:t>
            </w:r>
          </w:p>
        </w:tc>
      </w:tr>
      <w:tr w:rsidR="004256F7" w:rsidRPr="004A2A38" w:rsidTr="000134C7">
        <w:trPr>
          <w:trHeight w:val="7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A2A38" w:rsidRDefault="004256F7" w:rsidP="004256F7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E50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7E50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A2A38" w:rsidRDefault="004256F7" w:rsidP="004256F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D547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Недостатня </w:t>
            </w:r>
            <w:proofErr w:type="spellStart"/>
            <w:r w:rsidRPr="00D54718">
              <w:rPr>
                <w:rFonts w:ascii="Times New Roman" w:hAnsi="Times New Roman"/>
                <w:sz w:val="20"/>
                <w:szCs w:val="20"/>
                <w:lang w:val="uk-UA"/>
              </w:rPr>
              <w:t>врегульованість</w:t>
            </w:r>
            <w:proofErr w:type="spellEnd"/>
            <w:r w:rsidRPr="00D547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організаційно-розпорядчих документах ГПУ порядку позапланових виїздів до </w:t>
            </w:r>
            <w:r w:rsidRPr="00D5471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прокуратур нижчого рівня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A2A38" w:rsidRDefault="004256F7" w:rsidP="004256F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C3B2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Можливість зл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овживання повноваженнями при вирішенні питань про проведення </w:t>
            </w:r>
            <w:r w:rsidRPr="00D547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позапланових виїздів до </w:t>
            </w:r>
            <w:r w:rsidRPr="00D5471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прокуратур нижчого рівня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A2A38" w:rsidRDefault="004256F7" w:rsidP="004256F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8A0A2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Відсутність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D547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організаційно-розпорядчому документі ГПУ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чітко </w:t>
            </w:r>
            <w:proofErr w:type="spellStart"/>
            <w:r w:rsidRPr="00D54718">
              <w:rPr>
                <w:rFonts w:ascii="Times New Roman" w:hAnsi="Times New Roman"/>
                <w:sz w:val="20"/>
                <w:szCs w:val="20"/>
                <w:lang w:val="uk-UA"/>
              </w:rPr>
              <w:t>врегулюва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ного</w:t>
            </w:r>
            <w:proofErr w:type="spellEnd"/>
            <w:r w:rsidRPr="00D547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порядк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D547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позапланових </w:t>
            </w:r>
            <w:r w:rsidRPr="00D5471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виїздів до прокуратур нижчого рівня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CA0DE6" w:rsidRDefault="004256F7" w:rsidP="004256F7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0D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Вчинення корупційних та пов’язаних із корупцією правопорушень працівниками прокуратури.</w:t>
            </w:r>
          </w:p>
          <w:p w:rsidR="004256F7" w:rsidRPr="004A2A38" w:rsidRDefault="004256F7" w:rsidP="004256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Порушення прав працівників прокуратури.</w:t>
            </w:r>
          </w:p>
        </w:tc>
      </w:tr>
      <w:tr w:rsidR="00AC0AA3" w:rsidRPr="00C943A6" w:rsidTr="00174251">
        <w:trPr>
          <w:trHeight w:val="35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0AA3" w:rsidRPr="00786B99" w:rsidRDefault="00AC0AA3" w:rsidP="00746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C0AA3" w:rsidRPr="00786B99" w:rsidRDefault="00AC0AA3" w:rsidP="00B451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86B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Корупційні ризики,  можливі </w:t>
            </w:r>
            <w:r w:rsidR="00B451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при </w:t>
            </w:r>
            <w:r w:rsidR="00B45109" w:rsidRPr="00B451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управлінн</w:t>
            </w:r>
            <w:r w:rsidR="00B451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</w:t>
            </w:r>
            <w:r w:rsidR="00B45109" w:rsidRPr="00B451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B451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інформацією і </w:t>
            </w:r>
            <w:r w:rsidR="00B45109" w:rsidRPr="00B451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матеріальними ресурсами</w:t>
            </w:r>
          </w:p>
        </w:tc>
      </w:tr>
      <w:tr w:rsidR="00DB2E0C" w:rsidRPr="004A2A38" w:rsidTr="00913E9E">
        <w:trPr>
          <w:trHeight w:val="20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4A2A38" w:rsidRDefault="00672D5E" w:rsidP="00AC0AA3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807983" w:rsidRPr="00094A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4A2A38" w:rsidRDefault="00621877" w:rsidP="00CA568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6218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Недостатність механізмів контролю при здійсненні допорогових </w:t>
            </w:r>
            <w:proofErr w:type="spellStart"/>
            <w:r w:rsidRPr="00621877">
              <w:rPr>
                <w:rFonts w:ascii="Times New Roman" w:hAnsi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 w:rsidR="00CC3B2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4A2A38" w:rsidRDefault="00094A76" w:rsidP="00767F3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C3B27">
              <w:rPr>
                <w:rFonts w:ascii="Times New Roman" w:hAnsi="Times New Roman"/>
                <w:sz w:val="20"/>
                <w:szCs w:val="20"/>
                <w:lang w:val="uk-UA"/>
              </w:rPr>
              <w:t>Мо</w:t>
            </w:r>
            <w:r w:rsidR="00D54718">
              <w:rPr>
                <w:rFonts w:ascii="Times New Roman" w:hAnsi="Times New Roman"/>
                <w:sz w:val="20"/>
                <w:szCs w:val="20"/>
                <w:lang w:val="uk-UA"/>
              </w:rPr>
              <w:t>жливість зловживання повноважен</w:t>
            </w:r>
            <w:r w:rsidRPr="00CC3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нями з боку розпорядників бюджетних коштів при здійсненні допорогових </w:t>
            </w:r>
            <w:proofErr w:type="spellStart"/>
            <w:r w:rsidRPr="00CC3B27">
              <w:rPr>
                <w:rFonts w:ascii="Times New Roman" w:hAnsi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 w:rsidRPr="00CC3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="00DB2E0C" w:rsidRPr="00CC3B27">
              <w:rPr>
                <w:rFonts w:ascii="Times New Roman" w:hAnsi="Times New Roman"/>
                <w:sz w:val="20"/>
                <w:szCs w:val="20"/>
                <w:lang w:val="uk-UA"/>
              </w:rPr>
              <w:t>Закупівля товарів, робіт, послу</w:t>
            </w:r>
            <w:r w:rsidR="00621877" w:rsidRPr="00CC3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 за завищеними цінами. </w:t>
            </w:r>
            <w:r w:rsidR="00C22867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621877" w:rsidRPr="00CC3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оділ лоту </w:t>
            </w:r>
            <w:r w:rsidR="00845E47" w:rsidRPr="00CC3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 метою уникнення проведення процедур, передбачених Законом України «Про публічні закупівлі».               </w:t>
            </w:r>
            <w:r w:rsidR="00DB2E0C" w:rsidRPr="00CC3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Default="00CC3B27" w:rsidP="00CC3B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2B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Недостатність контролю за </w:t>
            </w:r>
            <w:r w:rsidR="00DB2E0C" w:rsidRPr="00FF2B2B">
              <w:rPr>
                <w:rFonts w:ascii="Times New Roman" w:hAnsi="Times New Roman"/>
                <w:sz w:val="20"/>
                <w:szCs w:val="20"/>
                <w:lang w:val="uk-UA"/>
              </w:rPr>
              <w:t>прийняття</w:t>
            </w:r>
            <w:r w:rsidRPr="00FF2B2B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DB2E0C" w:rsidRPr="00FF2B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рішень розпорядником бюджетних коштів </w:t>
            </w:r>
            <w:r w:rsidR="00FF2B2B" w:rsidRPr="00FF2B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 здійсненні допорогових </w:t>
            </w:r>
            <w:proofErr w:type="spellStart"/>
            <w:r w:rsidR="00FF2B2B" w:rsidRPr="00FF2B2B">
              <w:rPr>
                <w:rFonts w:ascii="Times New Roman" w:hAnsi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 w:rsidR="00FF2B2B" w:rsidRPr="00FF2B2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7A197A" w:rsidRPr="004A2A38" w:rsidRDefault="007A197A" w:rsidP="00CC3B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C" w:rsidRPr="00FF2B2B" w:rsidRDefault="00DB2E0C" w:rsidP="00FD42D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2B2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Недотримання процедур закупівлі товарів, робіт, послуг за державні кошти.</w:t>
            </w:r>
          </w:p>
          <w:p w:rsidR="00DB2E0C" w:rsidRPr="004A2A38" w:rsidRDefault="00DB2E0C" w:rsidP="007533C0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FF2B2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Втрата авторитету органу прокуратури України та репутаційні втрати держави.</w:t>
            </w:r>
          </w:p>
        </w:tc>
      </w:tr>
      <w:tr w:rsidR="000134C7" w:rsidRPr="00290E54" w:rsidTr="000134C7">
        <w:trPr>
          <w:trHeight w:val="42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34C7" w:rsidRPr="000134C7" w:rsidRDefault="000134C7" w:rsidP="00992FF3">
            <w:pPr>
              <w:spacing w:before="24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  <w:lang w:val="uk-UA"/>
              </w:rPr>
            </w:pPr>
            <w:r w:rsidRPr="000134C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Корупційні ризики,  можливі при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управлінні фінансами, здійсненні внутрішнього контролю, аудиту</w:t>
            </w:r>
          </w:p>
        </w:tc>
      </w:tr>
      <w:tr w:rsidR="000134C7" w:rsidRPr="00BB7570" w:rsidTr="00D3108F">
        <w:trPr>
          <w:trHeight w:val="4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7" w:rsidRPr="004A2A38" w:rsidRDefault="00672D5E" w:rsidP="00AC0AA3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BB7570" w:rsidRPr="00BB75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7" w:rsidRPr="004A2A38" w:rsidRDefault="00D54718" w:rsidP="007533C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D54718">
              <w:rPr>
                <w:rFonts w:ascii="Times New Roman" w:hAnsi="Times New Roman"/>
                <w:sz w:val="20"/>
                <w:szCs w:val="20"/>
                <w:lang w:val="uk-UA"/>
              </w:rPr>
              <w:t>Незабезпечення європейських стандартів та гарантій Закону України «Про прокуратуру» щодо матеріального, соціального та пенсійного забезпечення працівників органів прокуратури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0" w:rsidRPr="00C53AAF" w:rsidRDefault="00BB7570" w:rsidP="00BB757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53AAF">
              <w:rPr>
                <w:rFonts w:ascii="Times New Roman" w:hAnsi="Times New Roman"/>
                <w:sz w:val="20"/>
                <w:szCs w:val="20"/>
                <w:lang w:val="uk-UA"/>
              </w:rPr>
              <w:t>Непокриття</w:t>
            </w:r>
            <w:proofErr w:type="spellEnd"/>
            <w:r w:rsidRPr="00C53A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рахунок оплати праці необхідних потреб п</w:t>
            </w:r>
            <w:r w:rsidR="00D54718">
              <w:rPr>
                <w:rFonts w:ascii="Times New Roman" w:hAnsi="Times New Roman"/>
                <w:sz w:val="20"/>
                <w:szCs w:val="20"/>
                <w:lang w:val="uk-UA"/>
              </w:rPr>
              <w:t>рацівників органів прокуратури</w:t>
            </w:r>
            <w:r w:rsidR="00913E9E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53A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може призвести до корупційних проявів серед них, втрати незалежності від кері</w:t>
            </w:r>
            <w:r w:rsidR="00D54718">
              <w:rPr>
                <w:rFonts w:ascii="Times New Roman" w:hAnsi="Times New Roman"/>
                <w:sz w:val="20"/>
                <w:szCs w:val="20"/>
                <w:lang w:val="uk-UA"/>
              </w:rPr>
              <w:t>вників органів та фізичних осіб, наявність</w:t>
            </w:r>
            <w:r w:rsidR="00D54718" w:rsidRPr="00D547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дискримінаційних обмежень у призначенні та виплатах пенсій</w:t>
            </w:r>
          </w:p>
          <w:p w:rsidR="00BB7570" w:rsidRPr="00C53AAF" w:rsidRDefault="00BB7570" w:rsidP="00BB757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7" w:rsidRPr="00C53AAF" w:rsidRDefault="00BB7570" w:rsidP="00D54718">
            <w:pPr>
              <w:pStyle w:val="a7"/>
              <w:widowControl w:val="0"/>
              <w:numPr>
                <w:ilvl w:val="0"/>
                <w:numId w:val="26"/>
              </w:numPr>
              <w:tabs>
                <w:tab w:val="left" w:pos="340"/>
              </w:tabs>
              <w:ind w:left="60" w:hanging="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3AAF">
              <w:rPr>
                <w:rFonts w:ascii="Times New Roman" w:hAnsi="Times New Roman"/>
                <w:sz w:val="20"/>
                <w:szCs w:val="20"/>
                <w:lang w:val="uk-UA"/>
              </w:rPr>
              <w:t>Обмеження розміру оплати праці, передбаченої статтею 81 Закону України «Про прокуратуру»</w:t>
            </w:r>
            <w:r w:rsidR="00C53AAF" w:rsidRPr="00C53AA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53AAF" w:rsidRPr="00C53AAF" w:rsidRDefault="00D54718" w:rsidP="00D54718">
            <w:pPr>
              <w:pStyle w:val="a7"/>
              <w:widowControl w:val="0"/>
              <w:numPr>
                <w:ilvl w:val="0"/>
                <w:numId w:val="26"/>
              </w:numPr>
              <w:tabs>
                <w:tab w:val="left" w:pos="340"/>
              </w:tabs>
              <w:ind w:left="60" w:hanging="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Наявність дискримінаційних обмежень у призначенні та виплатах пенсій</w:t>
            </w:r>
            <w:r w:rsidR="006171F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F" w:rsidRPr="00807651" w:rsidRDefault="006171FF" w:rsidP="006171F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076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Вчинення корупційних та пов’язаних із корупцією правопорушень працівниками прокуратури.</w:t>
            </w:r>
          </w:p>
          <w:p w:rsidR="000134C7" w:rsidRPr="004A2A38" w:rsidRDefault="006171FF" w:rsidP="006171FF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8076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Втрата авторитету органу прокуратури України та репутаційні втрати держави.</w:t>
            </w:r>
          </w:p>
        </w:tc>
      </w:tr>
    </w:tbl>
    <w:p w:rsidR="00913E9E" w:rsidRDefault="00913E9E" w:rsidP="004256F7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913E9E" w:rsidSect="002D50CA">
      <w:footerReference w:type="default" r:id="rId9"/>
      <w:footerReference w:type="first" r:id="rId10"/>
      <w:pgSz w:w="16838" w:h="11906" w:orient="landscape"/>
      <w:pgMar w:top="1135" w:right="1134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B9" w:rsidRDefault="00661AB9" w:rsidP="002A2DF9">
      <w:pPr>
        <w:spacing w:after="0" w:line="240" w:lineRule="auto"/>
      </w:pPr>
      <w:r>
        <w:separator/>
      </w:r>
    </w:p>
  </w:endnote>
  <w:endnote w:type="continuationSeparator" w:id="0">
    <w:p w:rsidR="00661AB9" w:rsidRDefault="00661AB9" w:rsidP="002A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D4" w:rsidRPr="00F44DD4" w:rsidRDefault="00123EFE">
    <w:pPr>
      <w:pStyle w:val="a5"/>
      <w:jc w:val="right"/>
      <w:rPr>
        <w:rFonts w:ascii="Times New Roman" w:hAnsi="Times New Roman"/>
        <w:sz w:val="24"/>
      </w:rPr>
    </w:pPr>
    <w:r w:rsidRPr="00F44DD4">
      <w:rPr>
        <w:rFonts w:ascii="Times New Roman" w:hAnsi="Times New Roman"/>
        <w:sz w:val="24"/>
      </w:rPr>
      <w:fldChar w:fldCharType="begin"/>
    </w:r>
    <w:r w:rsidR="00F44DD4" w:rsidRPr="00F44DD4">
      <w:rPr>
        <w:rFonts w:ascii="Times New Roman" w:hAnsi="Times New Roman"/>
        <w:sz w:val="24"/>
      </w:rPr>
      <w:instrText xml:space="preserve"> PAGE   \* MERGEFORMAT </w:instrText>
    </w:r>
    <w:r w:rsidRPr="00F44DD4">
      <w:rPr>
        <w:rFonts w:ascii="Times New Roman" w:hAnsi="Times New Roman"/>
        <w:sz w:val="24"/>
      </w:rPr>
      <w:fldChar w:fldCharType="separate"/>
    </w:r>
    <w:r w:rsidR="0030451F">
      <w:rPr>
        <w:rFonts w:ascii="Times New Roman" w:hAnsi="Times New Roman"/>
        <w:noProof/>
        <w:sz w:val="24"/>
      </w:rPr>
      <w:t>1</w:t>
    </w:r>
    <w:r w:rsidRPr="00F44DD4">
      <w:rPr>
        <w:rFonts w:ascii="Times New Roman" w:hAnsi="Times New Roman"/>
        <w:sz w:val="24"/>
      </w:rPr>
      <w:fldChar w:fldCharType="end"/>
    </w:r>
  </w:p>
  <w:p w:rsidR="002A2DF9" w:rsidRDefault="002A2D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78350"/>
      <w:docPartObj>
        <w:docPartGallery w:val="Page Numbers (Bottom of Page)"/>
        <w:docPartUnique/>
      </w:docPartObj>
    </w:sdtPr>
    <w:sdtEndPr/>
    <w:sdtContent>
      <w:p w:rsidR="00F81BEF" w:rsidRDefault="00123EFE">
        <w:pPr>
          <w:pStyle w:val="a5"/>
          <w:jc w:val="right"/>
        </w:pPr>
        <w:r>
          <w:fldChar w:fldCharType="begin"/>
        </w:r>
        <w:r w:rsidR="00F81BEF">
          <w:instrText>PAGE   \* MERGEFORMAT</w:instrText>
        </w:r>
        <w:r>
          <w:fldChar w:fldCharType="separate"/>
        </w:r>
        <w:r w:rsidR="00F81BEF">
          <w:rPr>
            <w:noProof/>
          </w:rPr>
          <w:t>1</w:t>
        </w:r>
        <w:r>
          <w:fldChar w:fldCharType="end"/>
        </w:r>
      </w:p>
    </w:sdtContent>
  </w:sdt>
  <w:p w:rsidR="00F81BEF" w:rsidRDefault="00F81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B9" w:rsidRDefault="00661AB9" w:rsidP="002A2DF9">
      <w:pPr>
        <w:spacing w:after="0" w:line="240" w:lineRule="auto"/>
      </w:pPr>
      <w:r>
        <w:separator/>
      </w:r>
    </w:p>
  </w:footnote>
  <w:footnote w:type="continuationSeparator" w:id="0">
    <w:p w:rsidR="00661AB9" w:rsidRDefault="00661AB9" w:rsidP="002A2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457"/>
    <w:multiLevelType w:val="hybridMultilevel"/>
    <w:tmpl w:val="94EC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0B45"/>
    <w:multiLevelType w:val="hybridMultilevel"/>
    <w:tmpl w:val="E4DC61B6"/>
    <w:lvl w:ilvl="0" w:tplc="8604BD2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BAB2510"/>
    <w:multiLevelType w:val="hybridMultilevel"/>
    <w:tmpl w:val="AC4ED920"/>
    <w:lvl w:ilvl="0" w:tplc="C73C039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4511E7"/>
    <w:multiLevelType w:val="hybridMultilevel"/>
    <w:tmpl w:val="D12063CE"/>
    <w:lvl w:ilvl="0" w:tplc="67769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72B82"/>
    <w:multiLevelType w:val="hybridMultilevel"/>
    <w:tmpl w:val="CEDECAB0"/>
    <w:lvl w:ilvl="0" w:tplc="403EF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61E12"/>
    <w:multiLevelType w:val="hybridMultilevel"/>
    <w:tmpl w:val="9120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A1785"/>
    <w:multiLevelType w:val="hybridMultilevel"/>
    <w:tmpl w:val="D20CBE02"/>
    <w:lvl w:ilvl="0" w:tplc="00E82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1072D"/>
    <w:multiLevelType w:val="hybridMultilevel"/>
    <w:tmpl w:val="6BE24E80"/>
    <w:lvl w:ilvl="0" w:tplc="D432F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C0CC7"/>
    <w:multiLevelType w:val="hybridMultilevel"/>
    <w:tmpl w:val="BBB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41626"/>
    <w:multiLevelType w:val="hybridMultilevel"/>
    <w:tmpl w:val="966C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F3069"/>
    <w:multiLevelType w:val="hybridMultilevel"/>
    <w:tmpl w:val="AFD8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B514B"/>
    <w:multiLevelType w:val="hybridMultilevel"/>
    <w:tmpl w:val="471A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13914"/>
    <w:multiLevelType w:val="hybridMultilevel"/>
    <w:tmpl w:val="5E82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C0D48"/>
    <w:multiLevelType w:val="hybridMultilevel"/>
    <w:tmpl w:val="1BC4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06A07"/>
    <w:multiLevelType w:val="hybridMultilevel"/>
    <w:tmpl w:val="2962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80DE8"/>
    <w:multiLevelType w:val="hybridMultilevel"/>
    <w:tmpl w:val="8C7E27B4"/>
    <w:lvl w:ilvl="0" w:tplc="A0521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94757"/>
    <w:multiLevelType w:val="hybridMultilevel"/>
    <w:tmpl w:val="6B9A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B696E"/>
    <w:multiLevelType w:val="hybridMultilevel"/>
    <w:tmpl w:val="1748743E"/>
    <w:lvl w:ilvl="0" w:tplc="06AAF4D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60765E15"/>
    <w:multiLevelType w:val="hybridMultilevel"/>
    <w:tmpl w:val="9EE2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431C9"/>
    <w:multiLevelType w:val="hybridMultilevel"/>
    <w:tmpl w:val="0A027050"/>
    <w:lvl w:ilvl="0" w:tplc="4AAA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435C3"/>
    <w:multiLevelType w:val="hybridMultilevel"/>
    <w:tmpl w:val="D1B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C6914"/>
    <w:multiLevelType w:val="hybridMultilevel"/>
    <w:tmpl w:val="E1201F46"/>
    <w:lvl w:ilvl="0" w:tplc="3EBC3FC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D5C3E"/>
    <w:multiLevelType w:val="hybridMultilevel"/>
    <w:tmpl w:val="769A81B6"/>
    <w:lvl w:ilvl="0" w:tplc="B0E4B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0135D"/>
    <w:multiLevelType w:val="hybridMultilevel"/>
    <w:tmpl w:val="E132BE8C"/>
    <w:lvl w:ilvl="0" w:tplc="8898C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E2BC4"/>
    <w:multiLevelType w:val="hybridMultilevel"/>
    <w:tmpl w:val="EDBAC264"/>
    <w:lvl w:ilvl="0" w:tplc="283C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602CA"/>
    <w:multiLevelType w:val="hybridMultilevel"/>
    <w:tmpl w:val="BC72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9"/>
  </w:num>
  <w:num w:numId="5">
    <w:abstractNumId w:val="16"/>
  </w:num>
  <w:num w:numId="6">
    <w:abstractNumId w:val="2"/>
  </w:num>
  <w:num w:numId="7">
    <w:abstractNumId w:val="21"/>
  </w:num>
  <w:num w:numId="8">
    <w:abstractNumId w:val="14"/>
  </w:num>
  <w:num w:numId="9">
    <w:abstractNumId w:val="13"/>
  </w:num>
  <w:num w:numId="10">
    <w:abstractNumId w:val="12"/>
  </w:num>
  <w:num w:numId="11">
    <w:abstractNumId w:val="8"/>
  </w:num>
  <w:num w:numId="12">
    <w:abstractNumId w:val="15"/>
  </w:num>
  <w:num w:numId="13">
    <w:abstractNumId w:val="6"/>
  </w:num>
  <w:num w:numId="14">
    <w:abstractNumId w:val="25"/>
  </w:num>
  <w:num w:numId="15">
    <w:abstractNumId w:val="11"/>
  </w:num>
  <w:num w:numId="16">
    <w:abstractNumId w:val="18"/>
  </w:num>
  <w:num w:numId="17">
    <w:abstractNumId w:val="20"/>
  </w:num>
  <w:num w:numId="18">
    <w:abstractNumId w:val="5"/>
  </w:num>
  <w:num w:numId="19">
    <w:abstractNumId w:val="10"/>
  </w:num>
  <w:num w:numId="20">
    <w:abstractNumId w:val="7"/>
  </w:num>
  <w:num w:numId="21">
    <w:abstractNumId w:val="22"/>
  </w:num>
  <w:num w:numId="22">
    <w:abstractNumId w:val="23"/>
  </w:num>
  <w:num w:numId="23">
    <w:abstractNumId w:val="3"/>
  </w:num>
  <w:num w:numId="24">
    <w:abstractNumId w:val="1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25"/>
    <w:rsid w:val="00001692"/>
    <w:rsid w:val="00007F61"/>
    <w:rsid w:val="000134C7"/>
    <w:rsid w:val="00014500"/>
    <w:rsid w:val="000243F2"/>
    <w:rsid w:val="000330B0"/>
    <w:rsid w:val="000343F3"/>
    <w:rsid w:val="00056571"/>
    <w:rsid w:val="0008032C"/>
    <w:rsid w:val="000906D5"/>
    <w:rsid w:val="00094A76"/>
    <w:rsid w:val="00094F95"/>
    <w:rsid w:val="00096DA3"/>
    <w:rsid w:val="00096F6F"/>
    <w:rsid w:val="000A0FD3"/>
    <w:rsid w:val="000A1A24"/>
    <w:rsid w:val="000A1AD1"/>
    <w:rsid w:val="000A3A45"/>
    <w:rsid w:val="000B37A6"/>
    <w:rsid w:val="000B4D2D"/>
    <w:rsid w:val="000C4780"/>
    <w:rsid w:val="000D7A85"/>
    <w:rsid w:val="000E4451"/>
    <w:rsid w:val="000F240C"/>
    <w:rsid w:val="000F503E"/>
    <w:rsid w:val="000F542A"/>
    <w:rsid w:val="001050C6"/>
    <w:rsid w:val="0011047A"/>
    <w:rsid w:val="00112945"/>
    <w:rsid w:val="00116820"/>
    <w:rsid w:val="001203B4"/>
    <w:rsid w:val="00123EFE"/>
    <w:rsid w:val="00124A21"/>
    <w:rsid w:val="00124E30"/>
    <w:rsid w:val="001260DB"/>
    <w:rsid w:val="00137A20"/>
    <w:rsid w:val="001458CA"/>
    <w:rsid w:val="00163E94"/>
    <w:rsid w:val="00164CF0"/>
    <w:rsid w:val="0016588D"/>
    <w:rsid w:val="00172157"/>
    <w:rsid w:val="00181EEB"/>
    <w:rsid w:val="00186942"/>
    <w:rsid w:val="001922F7"/>
    <w:rsid w:val="00194A6D"/>
    <w:rsid w:val="001A0056"/>
    <w:rsid w:val="001A1C2F"/>
    <w:rsid w:val="001A7065"/>
    <w:rsid w:val="001B3358"/>
    <w:rsid w:val="001B5643"/>
    <w:rsid w:val="001B56EC"/>
    <w:rsid w:val="001B6A9A"/>
    <w:rsid w:val="001C291D"/>
    <w:rsid w:val="001C549D"/>
    <w:rsid w:val="001D1103"/>
    <w:rsid w:val="001D475A"/>
    <w:rsid w:val="001D7F95"/>
    <w:rsid w:val="001E0530"/>
    <w:rsid w:val="001E22BC"/>
    <w:rsid w:val="001E7E1F"/>
    <w:rsid w:val="001F0EEA"/>
    <w:rsid w:val="001F34BA"/>
    <w:rsid w:val="001F7267"/>
    <w:rsid w:val="00204724"/>
    <w:rsid w:val="00224EDF"/>
    <w:rsid w:val="0022747C"/>
    <w:rsid w:val="002275EB"/>
    <w:rsid w:val="00234AAB"/>
    <w:rsid w:val="002427CF"/>
    <w:rsid w:val="00242A06"/>
    <w:rsid w:val="00246B65"/>
    <w:rsid w:val="00251FF0"/>
    <w:rsid w:val="0025493F"/>
    <w:rsid w:val="002556F4"/>
    <w:rsid w:val="00274340"/>
    <w:rsid w:val="002769BC"/>
    <w:rsid w:val="0028555B"/>
    <w:rsid w:val="0028577C"/>
    <w:rsid w:val="00290E54"/>
    <w:rsid w:val="002A2DF9"/>
    <w:rsid w:val="002A6774"/>
    <w:rsid w:val="002B05F9"/>
    <w:rsid w:val="002B2792"/>
    <w:rsid w:val="002B55F5"/>
    <w:rsid w:val="002B569E"/>
    <w:rsid w:val="002C7F2F"/>
    <w:rsid w:val="002C7F79"/>
    <w:rsid w:val="002D1A57"/>
    <w:rsid w:val="002D41B8"/>
    <w:rsid w:val="002D50CA"/>
    <w:rsid w:val="002E6C1E"/>
    <w:rsid w:val="002E6D9C"/>
    <w:rsid w:val="002F609B"/>
    <w:rsid w:val="002F61A3"/>
    <w:rsid w:val="002F6C88"/>
    <w:rsid w:val="00302308"/>
    <w:rsid w:val="00303009"/>
    <w:rsid w:val="0030451F"/>
    <w:rsid w:val="003066C9"/>
    <w:rsid w:val="00307927"/>
    <w:rsid w:val="00321B3B"/>
    <w:rsid w:val="0033511E"/>
    <w:rsid w:val="00350D8A"/>
    <w:rsid w:val="0035536D"/>
    <w:rsid w:val="003571B6"/>
    <w:rsid w:val="003573F9"/>
    <w:rsid w:val="003620CF"/>
    <w:rsid w:val="00363B5C"/>
    <w:rsid w:val="00367E1D"/>
    <w:rsid w:val="00372F1D"/>
    <w:rsid w:val="00373B3E"/>
    <w:rsid w:val="00382988"/>
    <w:rsid w:val="00384FB9"/>
    <w:rsid w:val="0038500F"/>
    <w:rsid w:val="00386BA2"/>
    <w:rsid w:val="00390E97"/>
    <w:rsid w:val="003C70D2"/>
    <w:rsid w:val="003D0DA8"/>
    <w:rsid w:val="003F00F1"/>
    <w:rsid w:val="003F0BEF"/>
    <w:rsid w:val="003F44B8"/>
    <w:rsid w:val="00404A13"/>
    <w:rsid w:val="00413431"/>
    <w:rsid w:val="00420354"/>
    <w:rsid w:val="004256F7"/>
    <w:rsid w:val="004303C0"/>
    <w:rsid w:val="004518B1"/>
    <w:rsid w:val="00463958"/>
    <w:rsid w:val="00463E1B"/>
    <w:rsid w:val="00464EFF"/>
    <w:rsid w:val="0047576B"/>
    <w:rsid w:val="00477AF8"/>
    <w:rsid w:val="004819AE"/>
    <w:rsid w:val="0048608A"/>
    <w:rsid w:val="004908AF"/>
    <w:rsid w:val="004922A9"/>
    <w:rsid w:val="00495C30"/>
    <w:rsid w:val="0049625D"/>
    <w:rsid w:val="004963EA"/>
    <w:rsid w:val="004A2A38"/>
    <w:rsid w:val="004A5489"/>
    <w:rsid w:val="004A6A56"/>
    <w:rsid w:val="004B4C69"/>
    <w:rsid w:val="004D13D6"/>
    <w:rsid w:val="004D2B97"/>
    <w:rsid w:val="004D3534"/>
    <w:rsid w:val="004D502D"/>
    <w:rsid w:val="004E74BF"/>
    <w:rsid w:val="0051169B"/>
    <w:rsid w:val="00513F94"/>
    <w:rsid w:val="0052453C"/>
    <w:rsid w:val="00533B34"/>
    <w:rsid w:val="00545F36"/>
    <w:rsid w:val="00553E6D"/>
    <w:rsid w:val="005571A3"/>
    <w:rsid w:val="00557983"/>
    <w:rsid w:val="00560645"/>
    <w:rsid w:val="00562503"/>
    <w:rsid w:val="005631EB"/>
    <w:rsid w:val="005741A6"/>
    <w:rsid w:val="00576F80"/>
    <w:rsid w:val="00577AFF"/>
    <w:rsid w:val="005816C3"/>
    <w:rsid w:val="00582635"/>
    <w:rsid w:val="0058548F"/>
    <w:rsid w:val="005939DD"/>
    <w:rsid w:val="005A46B4"/>
    <w:rsid w:val="005A6B59"/>
    <w:rsid w:val="005B0A81"/>
    <w:rsid w:val="005B686A"/>
    <w:rsid w:val="005C0592"/>
    <w:rsid w:val="005C1CD4"/>
    <w:rsid w:val="005C3F6C"/>
    <w:rsid w:val="005C70E0"/>
    <w:rsid w:val="005D7F63"/>
    <w:rsid w:val="005E486E"/>
    <w:rsid w:val="005E5BF3"/>
    <w:rsid w:val="005E7DBF"/>
    <w:rsid w:val="005F5F1A"/>
    <w:rsid w:val="005F62A0"/>
    <w:rsid w:val="005F7134"/>
    <w:rsid w:val="00602E68"/>
    <w:rsid w:val="006135F0"/>
    <w:rsid w:val="006171FF"/>
    <w:rsid w:val="006174FB"/>
    <w:rsid w:val="0062012D"/>
    <w:rsid w:val="00621877"/>
    <w:rsid w:val="00625845"/>
    <w:rsid w:val="00626553"/>
    <w:rsid w:val="006357E2"/>
    <w:rsid w:val="00635D47"/>
    <w:rsid w:val="00637180"/>
    <w:rsid w:val="00642C01"/>
    <w:rsid w:val="006472E2"/>
    <w:rsid w:val="00647DF2"/>
    <w:rsid w:val="0065080B"/>
    <w:rsid w:val="00661AB9"/>
    <w:rsid w:val="00661F8C"/>
    <w:rsid w:val="00666D1B"/>
    <w:rsid w:val="00672D5E"/>
    <w:rsid w:val="006744BD"/>
    <w:rsid w:val="00681EAA"/>
    <w:rsid w:val="006830F8"/>
    <w:rsid w:val="006A2F77"/>
    <w:rsid w:val="006A33E3"/>
    <w:rsid w:val="006B08CC"/>
    <w:rsid w:val="006B2CDD"/>
    <w:rsid w:val="006B4888"/>
    <w:rsid w:val="006B683C"/>
    <w:rsid w:val="006C383C"/>
    <w:rsid w:val="006C4E10"/>
    <w:rsid w:val="006D5041"/>
    <w:rsid w:val="006E38FB"/>
    <w:rsid w:val="006E41BE"/>
    <w:rsid w:val="006F1C92"/>
    <w:rsid w:val="006F7DAB"/>
    <w:rsid w:val="00724896"/>
    <w:rsid w:val="007248AD"/>
    <w:rsid w:val="00724B12"/>
    <w:rsid w:val="00724C1B"/>
    <w:rsid w:val="0073098F"/>
    <w:rsid w:val="007405D6"/>
    <w:rsid w:val="00746244"/>
    <w:rsid w:val="007521C7"/>
    <w:rsid w:val="007531CB"/>
    <w:rsid w:val="007533C0"/>
    <w:rsid w:val="0075429D"/>
    <w:rsid w:val="00756D6B"/>
    <w:rsid w:val="00760E4B"/>
    <w:rsid w:val="00761741"/>
    <w:rsid w:val="00763E84"/>
    <w:rsid w:val="00764E31"/>
    <w:rsid w:val="00765889"/>
    <w:rsid w:val="00767F3D"/>
    <w:rsid w:val="007711D9"/>
    <w:rsid w:val="00771945"/>
    <w:rsid w:val="00772DB7"/>
    <w:rsid w:val="007766CE"/>
    <w:rsid w:val="00786B6D"/>
    <w:rsid w:val="00786B99"/>
    <w:rsid w:val="00794030"/>
    <w:rsid w:val="0079694B"/>
    <w:rsid w:val="007A197A"/>
    <w:rsid w:val="007A5965"/>
    <w:rsid w:val="007B6720"/>
    <w:rsid w:val="007C529D"/>
    <w:rsid w:val="007D0132"/>
    <w:rsid w:val="007E2E53"/>
    <w:rsid w:val="007E5002"/>
    <w:rsid w:val="007F05B6"/>
    <w:rsid w:val="007F57C2"/>
    <w:rsid w:val="007F6A99"/>
    <w:rsid w:val="007F6D74"/>
    <w:rsid w:val="007F749D"/>
    <w:rsid w:val="007F78FF"/>
    <w:rsid w:val="007F7C8C"/>
    <w:rsid w:val="00802FA2"/>
    <w:rsid w:val="00807651"/>
    <w:rsid w:val="00807831"/>
    <w:rsid w:val="00807983"/>
    <w:rsid w:val="00815652"/>
    <w:rsid w:val="00822468"/>
    <w:rsid w:val="008310AD"/>
    <w:rsid w:val="00836109"/>
    <w:rsid w:val="00837D5B"/>
    <w:rsid w:val="0084290C"/>
    <w:rsid w:val="00845E47"/>
    <w:rsid w:val="00850166"/>
    <w:rsid w:val="0085254A"/>
    <w:rsid w:val="00855BAA"/>
    <w:rsid w:val="00860000"/>
    <w:rsid w:val="008613A3"/>
    <w:rsid w:val="00864472"/>
    <w:rsid w:val="008648D2"/>
    <w:rsid w:val="008812EE"/>
    <w:rsid w:val="008836E2"/>
    <w:rsid w:val="00885F5F"/>
    <w:rsid w:val="00896C78"/>
    <w:rsid w:val="008A0A29"/>
    <w:rsid w:val="008A47B5"/>
    <w:rsid w:val="008B0BBF"/>
    <w:rsid w:val="008B1A57"/>
    <w:rsid w:val="008B1F28"/>
    <w:rsid w:val="008B2856"/>
    <w:rsid w:val="008B35D3"/>
    <w:rsid w:val="008C51FA"/>
    <w:rsid w:val="008C6D58"/>
    <w:rsid w:val="008D08E9"/>
    <w:rsid w:val="008D6DFC"/>
    <w:rsid w:val="008E0024"/>
    <w:rsid w:val="008F0DD9"/>
    <w:rsid w:val="008F4A48"/>
    <w:rsid w:val="00913E9E"/>
    <w:rsid w:val="00917738"/>
    <w:rsid w:val="00936E15"/>
    <w:rsid w:val="00941925"/>
    <w:rsid w:val="00963513"/>
    <w:rsid w:val="0096784B"/>
    <w:rsid w:val="00971798"/>
    <w:rsid w:val="00982DEF"/>
    <w:rsid w:val="00991370"/>
    <w:rsid w:val="00992FF3"/>
    <w:rsid w:val="00994C2F"/>
    <w:rsid w:val="009A366C"/>
    <w:rsid w:val="009C2487"/>
    <w:rsid w:val="009D16AD"/>
    <w:rsid w:val="009E2E48"/>
    <w:rsid w:val="009F7970"/>
    <w:rsid w:val="00A15016"/>
    <w:rsid w:val="00A17B78"/>
    <w:rsid w:val="00A33D0A"/>
    <w:rsid w:val="00A3468E"/>
    <w:rsid w:val="00A355D3"/>
    <w:rsid w:val="00A400F0"/>
    <w:rsid w:val="00A42E38"/>
    <w:rsid w:val="00A4382A"/>
    <w:rsid w:val="00A457F2"/>
    <w:rsid w:val="00A476AE"/>
    <w:rsid w:val="00A57521"/>
    <w:rsid w:val="00A61068"/>
    <w:rsid w:val="00A63C2C"/>
    <w:rsid w:val="00A64AC8"/>
    <w:rsid w:val="00A65225"/>
    <w:rsid w:val="00A73A58"/>
    <w:rsid w:val="00A77B2E"/>
    <w:rsid w:val="00A8682A"/>
    <w:rsid w:val="00A90E47"/>
    <w:rsid w:val="00A9473A"/>
    <w:rsid w:val="00AA24BE"/>
    <w:rsid w:val="00AA27CB"/>
    <w:rsid w:val="00AB441B"/>
    <w:rsid w:val="00AC0AA3"/>
    <w:rsid w:val="00AC4776"/>
    <w:rsid w:val="00AC676C"/>
    <w:rsid w:val="00AE3FB6"/>
    <w:rsid w:val="00AF073C"/>
    <w:rsid w:val="00AF208A"/>
    <w:rsid w:val="00AF7492"/>
    <w:rsid w:val="00B014D1"/>
    <w:rsid w:val="00B0258D"/>
    <w:rsid w:val="00B16353"/>
    <w:rsid w:val="00B34FDB"/>
    <w:rsid w:val="00B43865"/>
    <w:rsid w:val="00B45109"/>
    <w:rsid w:val="00B51C43"/>
    <w:rsid w:val="00B6473B"/>
    <w:rsid w:val="00B72F1E"/>
    <w:rsid w:val="00B72FA0"/>
    <w:rsid w:val="00B85379"/>
    <w:rsid w:val="00B86166"/>
    <w:rsid w:val="00BA3E93"/>
    <w:rsid w:val="00BA4207"/>
    <w:rsid w:val="00BB68A3"/>
    <w:rsid w:val="00BB6EF7"/>
    <w:rsid w:val="00BB702D"/>
    <w:rsid w:val="00BB7570"/>
    <w:rsid w:val="00BC5E2B"/>
    <w:rsid w:val="00BC61C2"/>
    <w:rsid w:val="00BD062B"/>
    <w:rsid w:val="00BE25C8"/>
    <w:rsid w:val="00BE6A25"/>
    <w:rsid w:val="00BE6CBA"/>
    <w:rsid w:val="00BF1761"/>
    <w:rsid w:val="00C06F54"/>
    <w:rsid w:val="00C07C85"/>
    <w:rsid w:val="00C15A9E"/>
    <w:rsid w:val="00C206FB"/>
    <w:rsid w:val="00C22867"/>
    <w:rsid w:val="00C31070"/>
    <w:rsid w:val="00C32F9A"/>
    <w:rsid w:val="00C37E13"/>
    <w:rsid w:val="00C43D94"/>
    <w:rsid w:val="00C46C67"/>
    <w:rsid w:val="00C52473"/>
    <w:rsid w:val="00C53643"/>
    <w:rsid w:val="00C53AAF"/>
    <w:rsid w:val="00C55694"/>
    <w:rsid w:val="00C6135D"/>
    <w:rsid w:val="00C6272A"/>
    <w:rsid w:val="00C64607"/>
    <w:rsid w:val="00C65A41"/>
    <w:rsid w:val="00C6798E"/>
    <w:rsid w:val="00C83D2D"/>
    <w:rsid w:val="00C86652"/>
    <w:rsid w:val="00C943A6"/>
    <w:rsid w:val="00CA0DE6"/>
    <w:rsid w:val="00CA4F3A"/>
    <w:rsid w:val="00CA568D"/>
    <w:rsid w:val="00CA6C70"/>
    <w:rsid w:val="00CB0092"/>
    <w:rsid w:val="00CB03CE"/>
    <w:rsid w:val="00CB26C4"/>
    <w:rsid w:val="00CC1EA3"/>
    <w:rsid w:val="00CC200A"/>
    <w:rsid w:val="00CC3B27"/>
    <w:rsid w:val="00CD1962"/>
    <w:rsid w:val="00CD6299"/>
    <w:rsid w:val="00CE1493"/>
    <w:rsid w:val="00CE338B"/>
    <w:rsid w:val="00CF0BBD"/>
    <w:rsid w:val="00CF2613"/>
    <w:rsid w:val="00CF5815"/>
    <w:rsid w:val="00D14439"/>
    <w:rsid w:val="00D2063E"/>
    <w:rsid w:val="00D22E84"/>
    <w:rsid w:val="00D302D2"/>
    <w:rsid w:val="00D3108F"/>
    <w:rsid w:val="00D3488F"/>
    <w:rsid w:val="00D35159"/>
    <w:rsid w:val="00D40EBA"/>
    <w:rsid w:val="00D42592"/>
    <w:rsid w:val="00D51886"/>
    <w:rsid w:val="00D54718"/>
    <w:rsid w:val="00D60AAB"/>
    <w:rsid w:val="00D65E40"/>
    <w:rsid w:val="00D7570A"/>
    <w:rsid w:val="00D82F0A"/>
    <w:rsid w:val="00D831B4"/>
    <w:rsid w:val="00D83A6D"/>
    <w:rsid w:val="00D86CF3"/>
    <w:rsid w:val="00D95BFC"/>
    <w:rsid w:val="00DA1425"/>
    <w:rsid w:val="00DA3420"/>
    <w:rsid w:val="00DA58F0"/>
    <w:rsid w:val="00DB2E0C"/>
    <w:rsid w:val="00DB389E"/>
    <w:rsid w:val="00DB43BD"/>
    <w:rsid w:val="00DC34C1"/>
    <w:rsid w:val="00DC5F4F"/>
    <w:rsid w:val="00DD1AA0"/>
    <w:rsid w:val="00DF0C4A"/>
    <w:rsid w:val="00DF24A3"/>
    <w:rsid w:val="00DF3059"/>
    <w:rsid w:val="00DF56F4"/>
    <w:rsid w:val="00E07886"/>
    <w:rsid w:val="00E101C7"/>
    <w:rsid w:val="00E14202"/>
    <w:rsid w:val="00E20447"/>
    <w:rsid w:val="00E27BBD"/>
    <w:rsid w:val="00E44DC2"/>
    <w:rsid w:val="00E4714A"/>
    <w:rsid w:val="00E5077A"/>
    <w:rsid w:val="00E53434"/>
    <w:rsid w:val="00E8050B"/>
    <w:rsid w:val="00E82F51"/>
    <w:rsid w:val="00E87B0B"/>
    <w:rsid w:val="00EA6660"/>
    <w:rsid w:val="00EA69E5"/>
    <w:rsid w:val="00EB127F"/>
    <w:rsid w:val="00EB6746"/>
    <w:rsid w:val="00EC4384"/>
    <w:rsid w:val="00ED1BFE"/>
    <w:rsid w:val="00EE3E1C"/>
    <w:rsid w:val="00EF07B8"/>
    <w:rsid w:val="00EF2E1A"/>
    <w:rsid w:val="00EF7CA7"/>
    <w:rsid w:val="00F00E0A"/>
    <w:rsid w:val="00F12ACB"/>
    <w:rsid w:val="00F272B2"/>
    <w:rsid w:val="00F27EC0"/>
    <w:rsid w:val="00F333B1"/>
    <w:rsid w:val="00F3340D"/>
    <w:rsid w:val="00F434A5"/>
    <w:rsid w:val="00F44A1C"/>
    <w:rsid w:val="00F44DD4"/>
    <w:rsid w:val="00F51797"/>
    <w:rsid w:val="00F56E1B"/>
    <w:rsid w:val="00F65AD8"/>
    <w:rsid w:val="00F72089"/>
    <w:rsid w:val="00F7579A"/>
    <w:rsid w:val="00F765E5"/>
    <w:rsid w:val="00F76B1A"/>
    <w:rsid w:val="00F81BEF"/>
    <w:rsid w:val="00F8310F"/>
    <w:rsid w:val="00FA0709"/>
    <w:rsid w:val="00FA10D3"/>
    <w:rsid w:val="00FA38F1"/>
    <w:rsid w:val="00FA783E"/>
    <w:rsid w:val="00FB3EF6"/>
    <w:rsid w:val="00FB51CD"/>
    <w:rsid w:val="00FC2CA1"/>
    <w:rsid w:val="00FD1F5A"/>
    <w:rsid w:val="00FD21D6"/>
    <w:rsid w:val="00FD42D5"/>
    <w:rsid w:val="00FD4FDE"/>
    <w:rsid w:val="00FE2099"/>
    <w:rsid w:val="00FE3C8B"/>
    <w:rsid w:val="00FF2182"/>
    <w:rsid w:val="00FF2452"/>
    <w:rsid w:val="00FF2B2B"/>
    <w:rsid w:val="00FF2EA8"/>
    <w:rsid w:val="00FF5212"/>
    <w:rsid w:val="00FF6DCE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275EB"/>
  </w:style>
  <w:style w:type="paragraph" w:styleId="a3">
    <w:name w:val="header"/>
    <w:basedOn w:val="a"/>
    <w:link w:val="a4"/>
    <w:uiPriority w:val="99"/>
    <w:unhideWhenUsed/>
    <w:rsid w:val="002A2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DF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A2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DF9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F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275EB"/>
  </w:style>
  <w:style w:type="paragraph" w:styleId="a3">
    <w:name w:val="header"/>
    <w:basedOn w:val="a"/>
    <w:link w:val="a4"/>
    <w:uiPriority w:val="99"/>
    <w:unhideWhenUsed/>
    <w:rsid w:val="002A2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DF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A2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DF9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F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3EAB-1164-4F8B-9231-58C162F7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7503</Words>
  <Characters>4277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 Дмитро Леонідович</dc:creator>
  <cp:lastModifiedBy>Нестеренко Людмила Миколаївна</cp:lastModifiedBy>
  <cp:revision>2</cp:revision>
  <cp:lastPrinted>2017-03-13T09:59:00Z</cp:lastPrinted>
  <dcterms:created xsi:type="dcterms:W3CDTF">2019-07-31T09:19:00Z</dcterms:created>
  <dcterms:modified xsi:type="dcterms:W3CDTF">2019-07-31T09:19:00Z</dcterms:modified>
</cp:coreProperties>
</file>